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100" w:beforeAutospacing="1" w:after="100" w:afterAutospacing="1" w:line="240" w:lineRule="auto"/>
        <w:jc w:val="center"/>
        <w:rPr>
          <w:rFonts w:ascii="Calibri" w:hAnsi="Calibri" w:cs="Calibri" w:eastAsia="Times New Roman"/>
          <w:caps/>
          <w:color w:val="000000"/>
          <w:sz w:val="26"/>
        </w:rPr>
        <w:pStyle w:val="P68B1DB1-Normal1"/>
      </w:pPr>
      <w:r>
        <w:t xml:space="preserve">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PURPOSE</w:t>
      </w:r>
    </w:p>
    <w:p>
      <w:pPr>
        <w:spacing w:before="120" w:after="120" w:line="240" w:lineRule="auto"/>
        <w:ind w:left="120" w:right="120"/>
        <w:jc w:val="both"/>
        <w:rPr>
          <w:rFonts w:ascii="Calibri" w:hAnsi="Calibri" w:cs="Calibri" w:eastAsia="Times New Roman"/>
          <w:color w:val="000000"/>
          <w:sz w:val="27"/>
        </w:rPr>
        <w:pStyle w:val="P68B1DB1-Normal2"/>
      </w:pPr>
      <w:r>
        <w:t xml:space="preserve">The object of this project is the hiring of companies to provide corporate communication and public relations services, to publicize Brazil abroad as a tourist destination, as well as providing information necessary to subsidize the respective process, according to the conditions, quantities and requirements established in this instrument.</w:t>
      </w:r>
    </w:p>
    <w:p>
      <w:pPr>
        <w:spacing w:before="120" w:after="120" w:line="240" w:lineRule="auto"/>
        <w:ind w:left="120" w:right="120"/>
        <w:jc w:val="both"/>
        <w:rPr>
          <w:rFonts w:ascii="Calibri" w:hAnsi="Calibri" w:cs="Calibri" w:eastAsia="Times New Roman"/>
          <w:color w:val="000000"/>
          <w:sz w:val="27"/>
        </w:rPr>
        <w:pStyle w:val="P68B1DB1-Normal2"/>
      </w:pPr>
      <w:r>
        <w:t xml:space="preserve">The objects of the contract are:</w:t>
      </w:r>
    </w:p>
    <w:p>
      <w:pPr>
        <w:spacing w:before="120" w:after="120" w:line="240" w:lineRule="auto"/>
        <w:ind w:left="1800" w:right="120"/>
        <w:jc w:val="both"/>
        <w:rPr>
          <w:rFonts w:ascii="Calibri" w:hAnsi="Calibri" w:cs="Calibri" w:eastAsia="Times New Roman"/>
          <w:color w:val="000000"/>
          <w:sz w:val="27"/>
        </w:rPr>
        <w:pStyle w:val="P68B1DB1-Normal2"/>
      </w:pPr>
      <w:r>
        <w:t xml:space="preserve">Prospecting, planning, implementation, maintenance and monitoring of EMBRATUR's corporate communication solutions, in its relationship with the press and in its performance in public relations, in international territory;</w:t>
      </w:r>
    </w:p>
    <w:p>
      <w:pPr>
        <w:spacing w:before="120" w:after="120" w:line="240" w:lineRule="auto"/>
        <w:ind w:left="1800" w:right="120"/>
        <w:jc w:val="both"/>
        <w:rPr>
          <w:rFonts w:ascii="Calibri" w:hAnsi="Calibri" w:cs="Calibri" w:eastAsia="Times New Roman"/>
          <w:color w:val="000000"/>
          <w:sz w:val="27"/>
        </w:rPr>
        <w:pStyle w:val="P68B1DB1-Normal2"/>
      </w:pPr>
      <w:r>
        <w:t xml:space="preserve">Creation and technical execution of corporate communication actions and/or materials and multimedia content;</w:t>
      </w:r>
    </w:p>
    <w:p>
      <w:pPr>
        <w:spacing w:before="120" w:after="120" w:line="240" w:lineRule="auto"/>
        <w:ind w:left="1800" w:right="120"/>
        <w:jc w:val="both"/>
        <w:rPr>
          <w:rFonts w:ascii="Calibri" w:hAnsi="Calibri" w:cs="Calibri" w:eastAsia="Times New Roman"/>
          <w:color w:val="000000"/>
          <w:sz w:val="27"/>
        </w:rPr>
        <w:pStyle w:val="P68B1DB1-Normal2"/>
      </w:pPr>
      <w:r>
        <w:t xml:space="preserve">Creation, implementation and development of innovative forms of corporate communication, aimed at expanding the effects of EMBRATUR's activities with the press and other stakeholders, in line with new technologies;</w:t>
      </w:r>
    </w:p>
    <w:p>
      <w:pPr>
        <w:spacing w:before="120" w:after="120" w:line="240" w:lineRule="auto"/>
        <w:ind w:left="1800" w:right="120"/>
        <w:jc w:val="both"/>
        <w:rPr>
          <w:rFonts w:ascii="Calibri" w:hAnsi="Calibri" w:cs="Calibri" w:eastAsia="Times New Roman"/>
          <w:color w:val="000000"/>
          <w:sz w:val="27"/>
        </w:rPr>
        <w:pStyle w:val="P68B1DB1-Normal2"/>
      </w:pPr>
      <w:r>
        <w:t xml:space="preserve">Assistance and subsidy to decision-making and the implementation of the actions, programs and activities of EMBRATUR's Marketing, Intelligence and Communication Board (DMIC), as well as compliance with the principle of publicity and the right to information, through corporate communication actions aimed at disseminating ideas, programs, disseminating initiatives and informing and guiding the general public; and</w:t>
      </w:r>
    </w:p>
    <w:p>
      <w:pPr>
        <w:spacing w:before="120" w:after="120" w:line="240" w:lineRule="auto"/>
        <w:ind w:left="1800" w:right="120"/>
        <w:jc w:val="both"/>
        <w:rPr>
          <w:rFonts w:ascii="Calibri" w:hAnsi="Calibri" w:cs="Calibri" w:eastAsia="Times New Roman"/>
          <w:color w:val="000000"/>
          <w:sz w:val="27"/>
        </w:rPr>
        <w:pStyle w:val="P68B1DB1-Normal2"/>
      </w:pPr>
      <w:r>
        <w:t xml:space="preserve">Subsidize the strategic proposition of corporate communication actions to achieve the communication objectives and overcome EMBRATUR's challenges, providing, whenever possible, indicators and metrics for measuring, analyzing and optimizing results.</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that constitute the object of the bidding are characteristic activities of companies that, in Brazil, are called Corporate Communication Agency, with the purpose, in the specific case of EMBRATUR, to stimulate the means of communication to disclose Brazilian products, services and tourist destinations. </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services that must be performed abroad, competitors may present foreign companies as international partners, aiming to establish the necessary coverage to serve the continents that make up the lot(s). These partnerships must be informed when submitting the Technical Proposals, by means of a formal document proving the international partnership. </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formal document presented to prove the partnership, it must be stated that the partnership is headquartered and operates in the continents indicated in sub-item 1.5.</w:t>
      </w:r>
    </w:p>
    <w:p>
      <w:pPr>
        <w:spacing w:before="120" w:after="120" w:line="240" w:lineRule="auto"/>
        <w:ind w:left="120" w:right="120"/>
        <w:jc w:val="both"/>
        <w:rPr>
          <w:rFonts w:ascii="Calibri" w:hAnsi="Calibri" w:cs="Calibri" w:eastAsia="Times New Roman"/>
          <w:color w:val="000000"/>
          <w:sz w:val="27"/>
        </w:rPr>
        <w:pStyle w:val="P68B1DB1-Normal2"/>
      </w:pPr>
      <w:r>
        <w:t xml:space="preserve">Publics of interest to Brazil abroad: </w:t>
      </w:r>
    </w:p>
    <w:p>
      <w:pPr>
        <w:spacing w:before="120" w:after="120" w:line="240" w:lineRule="auto"/>
        <w:ind w:left="1800" w:right="120"/>
        <w:jc w:val="both"/>
        <w:rPr>
          <w:rFonts w:ascii="Calibri" w:hAnsi="Calibri" w:cs="Calibri" w:eastAsia="Times New Roman"/>
          <w:color w:val="000000"/>
          <w:sz w:val="27"/>
        </w:rPr>
        <w:pStyle w:val="P68B1DB1-Normal2"/>
      </w:pPr>
      <w:r>
        <w:t>Press;</w:t>
      </w:r>
    </w:p>
    <w:p>
      <w:pPr>
        <w:spacing w:before="120" w:after="120" w:line="240" w:lineRule="auto"/>
        <w:ind w:left="1800" w:right="120"/>
        <w:jc w:val="both"/>
        <w:rPr>
          <w:rFonts w:ascii="Calibri" w:hAnsi="Calibri" w:cs="Calibri" w:eastAsia="Times New Roman"/>
          <w:color w:val="000000"/>
          <w:sz w:val="27"/>
        </w:rPr>
        <w:pStyle w:val="P68B1DB1-Normal2"/>
      </w:pPr>
      <w:r>
        <w:t xml:space="preserve">Brazilian Embassies;</w:t>
      </w:r>
    </w:p>
    <w:p>
      <w:pPr>
        <w:spacing w:before="120" w:after="120" w:line="240" w:lineRule="auto"/>
        <w:ind w:left="1800" w:right="120"/>
        <w:jc w:val="both"/>
        <w:rPr>
          <w:rFonts w:ascii="Calibri" w:hAnsi="Calibri" w:cs="Calibri" w:eastAsia="Times New Roman"/>
          <w:color w:val="000000"/>
          <w:sz w:val="27"/>
        </w:rPr>
        <w:pStyle w:val="P68B1DB1-Normal2"/>
      </w:pPr>
      <w:r>
        <w:t xml:space="preserve">International Organizations;</w:t>
      </w:r>
    </w:p>
    <w:p>
      <w:pPr>
        <w:spacing w:before="120" w:after="120" w:line="240" w:lineRule="auto"/>
        <w:ind w:left="1800" w:right="120"/>
        <w:jc w:val="both"/>
        <w:rPr>
          <w:rFonts w:ascii="Calibri" w:hAnsi="Calibri" w:cs="Calibri" w:eastAsia="Times New Roman"/>
          <w:color w:val="000000"/>
          <w:sz w:val="27"/>
        </w:rPr>
        <w:pStyle w:val="P68B1DB1-Normal2"/>
      </w:pPr>
      <w:r>
        <w:t xml:space="preserve">Tourism-related class entities;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Opinion-forming influencers; </w:t>
      </w:r>
    </w:p>
    <w:p>
      <w:pPr>
        <w:spacing w:before="120" w:after="120" w:line="240" w:lineRule="auto"/>
        <w:ind w:left="120" w:right="120"/>
        <w:jc w:val="both"/>
        <w:rPr>
          <w:rFonts w:ascii="Calibri" w:hAnsi="Calibri" w:cs="Calibri" w:eastAsia="Times New Roman"/>
          <w:color w:val="000000"/>
          <w:sz w:val="27"/>
        </w:rPr>
        <w:pStyle w:val="P68B1DB1-Normal2"/>
      </w:pPr>
      <w:r>
        <w:t xml:space="preserve">The object will be divided into 02 (two) lots, namely:</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Lot 1 - North America </w:t>
      </w:r>
      <w:r>
        <w:t xml:space="preserve">(Canada, United States and Mexico), </w:t>
      </w:r>
      <w:r>
        <w:rPr>
          <w:b/>
        </w:rPr>
        <w:t xml:space="preserve">Central America </w:t>
      </w:r>
      <w:r>
        <w:t xml:space="preserve">(Bahamas, Panama, Dominican Republic)</w:t>
      </w:r>
      <w:r>
        <w:rPr>
          <w:b/>
        </w:rPr>
        <w:t>,</w:t>
      </w:r>
      <w:r>
        <w:t xml:space="preserve"> </w:t>
      </w:r>
      <w:r>
        <w:rPr>
          <w:b/>
        </w:rPr>
        <w:t xml:space="preserve">South America</w:t>
      </w:r>
      <w:r>
        <w:t xml:space="preserve"> (Argentina, Chile, Colombia, Paraguay, Peru, Uruguay)</w:t>
      </w:r>
      <w:r>
        <w:rPr>
          <w:b/>
        </w:rPr>
        <w:t xml:space="preserve"> and Oceania </w:t>
      </w:r>
      <w:r>
        <w:t xml:space="preserve">(Australia, New Zealand);</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Lot 2 - Europe </w:t>
      </w:r>
      <w:r>
        <w:t xml:space="preserve">(Germany, Spain, England, Italy, Portugal, Russia and Vatican),</w:t>
      </w:r>
      <w:r>
        <w:rPr>
          <w:b/>
        </w:rPr>
        <w:t xml:space="preserve"> Africa </w:t>
      </w:r>
      <w:r>
        <w:t xml:space="preserve">(South Africa, Egypt and Mozambique) </w:t>
      </w:r>
      <w:r>
        <w:rPr>
          <w:b/>
        </w:rPr>
        <w:t xml:space="preserve">and Asia </w:t>
      </w:r>
      <w:r>
        <w:t xml:space="preserve">(China, United Arab Emirates, Israel and Japan).</w:t>
      </w:r>
    </w:p>
    <w:p>
      <w:pPr>
        <w:spacing w:before="120" w:after="120" w:line="240" w:lineRule="auto"/>
        <w:ind w:left="120" w:right="120"/>
        <w:jc w:val="both"/>
        <w:rPr>
          <w:rFonts w:ascii="Calibri" w:hAnsi="Calibri" w:cs="Calibri" w:eastAsia="Times New Roman"/>
          <w:color w:val="000000"/>
          <w:sz w:val="27"/>
        </w:rPr>
        <w:pStyle w:val="P68B1DB1-Normal2"/>
      </w:pPr>
      <w:r>
        <w:t xml:space="preserve">This contract will adopt the indirect execution regime and the contract for Unit Price.</w:t>
      </w:r>
    </w:p>
    <w:p>
      <w:pPr>
        <w:spacing w:before="120" w:after="120" w:line="240" w:lineRule="auto"/>
        <w:ind w:left="120" w:right="120"/>
        <w:jc w:val="both"/>
        <w:rPr>
          <w:rFonts w:ascii="Calibri" w:hAnsi="Calibri" w:cs="Calibri" w:eastAsia="Times New Roman"/>
          <w:color w:val="000000"/>
          <w:sz w:val="27"/>
        </w:rPr>
        <w:pStyle w:val="P68B1DB1-Normal2"/>
      </w:pPr>
      <w:r>
        <w:t xml:space="preserve">The company will be contracted through competition, of the best technique type, under the aegis of the Embratur Bidding Manual.  </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 will be valid for 12 months (twelve months), and may be extended for the interest of the parties up to the limit of 60 (sixty) months. </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provided for in sub-item 1.2. </w:t>
      </w:r>
      <w:r>
        <w:rPr>
          <w:u w:val="single"/>
        </w:rPr>
        <w:t xml:space="preserve">do not</w:t>
      </w:r>
      <w:r>
        <w:t xml:space="preserve"> cover activities with a different nature from EMBRATUR's corporate communication, in its relationship with the press and in its performance in public relations.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JUSTIFICATION AND PURPOSE OF THE CONTRACTING</w:t>
      </w:r>
    </w:p>
    <w:p>
      <w:pPr>
        <w:spacing w:before="120" w:after="120" w:line="240" w:lineRule="auto"/>
        <w:ind w:left="120" w:right="120"/>
        <w:jc w:val="both"/>
        <w:rPr>
          <w:rFonts w:ascii="Calibri" w:hAnsi="Calibri" w:cs="Calibri" w:eastAsia="Times New Roman"/>
          <w:color w:val="000000"/>
          <w:sz w:val="27"/>
        </w:rPr>
        <w:pStyle w:val="P68B1DB1-Normal2"/>
      </w:pPr>
      <w:r>
        <w:t xml:space="preserve">The following are justifications for hiring:</w:t>
      </w:r>
    </w:p>
    <w:p>
      <w:pPr>
        <w:spacing w:before="120" w:after="120" w:line="240" w:lineRule="auto"/>
        <w:ind w:left="120" w:right="120"/>
        <w:jc w:val="both"/>
        <w:rPr>
          <w:rFonts w:ascii="Calibri" w:hAnsi="Calibri" w:cs="Calibri" w:eastAsia="Times New Roman"/>
          <w:color w:val="000000"/>
          <w:sz w:val="27"/>
        </w:rPr>
        <w:pStyle w:val="P68B1DB1-Normal2"/>
      </w:pPr>
      <w:r>
        <w:t xml:space="preserve">Carry out the "Campaign for the Recovery of National Tourism", with a view to reversing the drop in the GDP of services related to tourism and reducing the impact of the Brazilian economic recession. In this scope, it is concluded that it is of fundamental importance to hire the Agency services to provide corporate communication and public relations services, in order to meet the principle of publicity and the right to information, disseminate ideas, principles, initiatives or institutions and inform the general public, to meet the demands of the Brazilian International Tourism Promotion Agency.</w:t>
      </w:r>
    </w:p>
    <w:p>
      <w:pPr>
        <w:spacing w:before="120" w:after="120" w:line="240" w:lineRule="auto"/>
        <w:ind w:left="120" w:right="120"/>
        <w:jc w:val="both"/>
        <w:rPr>
          <w:rFonts w:ascii="Calibri" w:hAnsi="Calibri" w:cs="Calibri" w:eastAsia="Times New Roman"/>
          <w:color w:val="000000"/>
          <w:sz w:val="27"/>
        </w:rPr>
        <w:pStyle w:val="P68B1DB1-Normal2"/>
      </w:pPr>
      <w:r>
        <w:t xml:space="preserve">For EMBRATUR to be able to fulfill its institutional mission, it is essential that there is a perfect communication of the actions to disseminate the Brazilian tourist destinations and the activities in general performed by the institution with the media and other stakeholders. This work is carried out by the press and public relations advisory areas, taking into account the Communication and Marketing strategy established by the institution's presidency and by the Marketing, Intelligence and Communication Board and its management.</w:t>
      </w:r>
    </w:p>
    <w:p>
      <w:pPr>
        <w:spacing w:before="120" w:after="120" w:line="240" w:lineRule="auto"/>
        <w:ind w:left="120" w:right="120"/>
        <w:jc w:val="both"/>
        <w:rPr>
          <w:rFonts w:ascii="Calibri" w:hAnsi="Calibri" w:cs="Calibri" w:eastAsia="Times New Roman"/>
          <w:color w:val="000000"/>
          <w:sz w:val="27"/>
        </w:rPr>
        <w:pStyle w:val="P68B1DB1-Normal2"/>
      </w:pPr>
      <w:r>
        <w:t xml:space="preserve">Reinforce the EMBRATUR brand and promote content related to the Tourism market and the destinations of Brazil. For this, the areas of press office and public relations are expanded to ensure capillarity and impact power with the public of interest of the institution, through the production of relevant content, the establishment of dissemination channels and the increase in the number of foreign travelers to Brazil. In this context, it is essential for EMBRATUR to hire a specialized company to provide integrated communication services, since the Contractor will have the primary obligation to use the best technological means/resources available in the market for the communication objective to be fulfilled.</w:t>
      </w:r>
    </w:p>
    <w:p>
      <w:pPr>
        <w:spacing w:before="120" w:after="120" w:line="240" w:lineRule="auto"/>
        <w:ind w:left="120" w:right="120"/>
        <w:jc w:val="both"/>
        <w:rPr>
          <w:rFonts w:ascii="Calibri" w:hAnsi="Calibri" w:cs="Calibri" w:eastAsia="Times New Roman"/>
          <w:color w:val="000000"/>
          <w:sz w:val="27"/>
        </w:rPr>
        <w:pStyle w:val="P68B1DB1-Normal2"/>
      </w:pPr>
      <w:r>
        <w:t xml:space="preserve">Invest in the relationship with journalists and opinion makers of the priority markets, as executed during all the years of existence of this institution. The results obtained over the years confirm the importance of continuing to invest in this area. A continuous work of Public Relations is essential to publicize the positive agendas about Brazil and its tourist attractions abroad, especially at this time of global resumption of tourism. The contractors will have the role of maintaining the relationship with the main media of the demanded markets, always aiming at the disclosure of the positive aspects of the country. </w:t>
      </w:r>
    </w:p>
    <w:p>
      <w:pPr>
        <w:spacing w:before="120" w:after="120" w:line="240" w:lineRule="auto"/>
        <w:ind w:left="120" w:right="120"/>
        <w:jc w:val="both"/>
        <w:rPr>
          <w:rFonts w:ascii="Calibri" w:hAnsi="Calibri" w:cs="Calibri" w:eastAsia="Times New Roman"/>
          <w:color w:val="000000"/>
          <w:sz w:val="27"/>
        </w:rPr>
        <w:pStyle w:val="P68B1DB1-Normal2"/>
      </w:pPr>
      <w:r>
        <w:t xml:space="preserve">The Institutional Relations Management intensified its actions during the gradual resumption of tourism in the country, optimizing the work of promoting Brazilian tourist destinations abroad, taking advantage of the resumption scenario to attract new tourists. Therefore, the area identified the need to strengthen relations with the journalistic segment, as it results from a work of rapprochement, where the media strengthen relations with the image of Brazil, where the institution provides content on topics of interest so that they are widely disseminated through articles, reaching directly the target audience of the Agency: the foreign tourist. </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SOLUTION DESCRIPTION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description of the solution as a whole covers the provision of corporate communication and public relations services. The demands will be met by combining the most appropriate products and services to support EMBRATUR in overcoming its challenges and achieving its communication objectives, including:</w:t>
      </w:r>
    </w:p>
    <w:p>
      <w:pPr>
        <w:spacing w:before="120" w:after="120" w:line="240" w:lineRule="auto"/>
        <w:ind w:left="1800" w:right="120"/>
        <w:jc w:val="both"/>
        <w:rPr>
          <w:rFonts w:ascii="Calibri" w:hAnsi="Calibri" w:cs="Calibri" w:eastAsia="Times New Roman"/>
          <w:color w:val="000000"/>
          <w:sz w:val="27"/>
        </w:rPr>
        <w:pStyle w:val="P68B1DB1-Normal2"/>
      </w:pPr>
      <w:r>
        <w:rPr>
          <w:b/>
          <w:u w:val="single"/>
        </w:rPr>
        <w:t xml:space="preserve">Essential Products and Services</w:t>
      </w:r>
      <w:r>
        <w:t xml:space="preserve">: contemplate the basic expertise of the Contractor in the execution of the object of the contract, the items being previously specified and priced by the Contracting Party, with the respective estimated quantities of execution, in </w:t>
      </w:r>
      <w:r>
        <w:rPr>
          <w:b/>
        </w:rPr>
        <w:t xml:space="preserve">Appendix I</w:t>
      </w:r>
      <w:r>
        <w:t>;</w:t>
      </w:r>
    </w:p>
    <w:p>
      <w:pPr>
        <w:spacing w:before="120" w:after="120" w:line="240" w:lineRule="auto"/>
        <w:ind w:left="1800" w:right="120"/>
        <w:jc w:val="both"/>
        <w:rPr>
          <w:rFonts w:ascii="Calibri" w:hAnsi="Calibri" w:cs="Calibri" w:eastAsia="Times New Roman"/>
          <w:color w:val="000000"/>
          <w:sz w:val="27"/>
        </w:rPr>
        <w:pStyle w:val="P68B1DB1-Normal2"/>
      </w:pPr>
      <w:r>
        <w:rPr>
          <w:b/>
          <w:u w:val="single"/>
        </w:rPr>
        <w:t xml:space="preserve">Complementary Products and Services</w:t>
      </w:r>
      <w:r>
        <w:rPr>
          <w:b/>
        </w:rPr>
        <w:t>:</w:t>
      </w:r>
      <w:r>
        <w:t xml:space="preserve"> include basic and specific items not subject to provision by the contractor, nor to forecast by the Contracting Party, but indispensable for the proper contractual execution, provided through specialized suppliers, with the intermediation and supervision of the Contractor, whose categories are described in </w:t>
      </w:r>
      <w:r>
        <w:rPr>
          <w:b/>
        </w:rPr>
        <w:t xml:space="preserve">Appendix II</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products and services contained in this Basic Project will be executed and delivered </w:t>
      </w:r>
      <w:r>
        <w:rPr>
          <w:b/>
        </w:rPr>
        <w:t xml:space="preserve">on demand</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products and services must be priced in the currency of the place of provision of the service, of the countries indicated in item 1.5 of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If there is a need to provide services in any market (country) not included in the list, the reference value will be the average of the spreadsheet of values of the other countries of the continent.</w:t>
      </w:r>
    </w:p>
    <w:p>
      <w:pPr>
        <w:spacing w:before="120" w:after="120" w:line="240" w:lineRule="auto"/>
        <w:ind w:left="120" w:right="120"/>
        <w:jc w:val="both"/>
        <w:rPr>
          <w:rFonts w:ascii="Calibri" w:hAnsi="Calibri" w:cs="Calibri" w:eastAsia="Times New Roman"/>
          <w:color w:val="000000"/>
          <w:sz w:val="27"/>
        </w:rPr>
        <w:pStyle w:val="P68B1DB1-Normal4"/>
      </w:pPr>
      <w:r>
        <w:t xml:space="preserve">The professionals who will be involved in the provision of services must have the following profile:</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Master Communication Professional: </w:t>
      </w:r>
      <w:r>
        <w:t xml:space="preserve">higher education (courses recognized by the Ministry of Education) with at least 10 (ten) years of experience in public agencies/agencies/companies or communication vehicles of international scope; experience as head or coordinator of private or governmental press office, service manager in public agency, agencies, and/or chief editor, and/or editor. Broad knowledge of management tools and skills for the preparation of Communication and budgets work proposal, definition and implementation of planning, Communication projects, formulation of Communication policies and strategies and relationship with opinion leaders, conducting </w:t>
      </w:r>
      <w:r>
        <w:rPr>
          <w:i/>
        </w:rPr>
        <w:t xml:space="preserve">media training</w:t>
      </w:r>
      <w:r>
        <w:t xml:space="preserve"> and event management. Responsible for managing and leading teams to execute the actions of the Communication planning. Mastery of English and Spanish and good knowledge of the French language.</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Senior Communication Professional:</w:t>
      </w:r>
      <w:r>
        <w:t xml:space="preserve"> higher education (courses recognized by the Ministry of Education) with at least 8 (eight) years of experience in press offices of public agencies, agencies, companies or in communication vehicles of international scope, or have acted as a manager or coordinator of service in public press offices or agency. Experience in administration and coordination of communication activities, writing and editing of texts, speeches and articles, in addition to other activities involved in the service, such as defining disclosures and relationship programs with journalists. Responsible for consolidation and reporting and team management. Mastery of the English language and good knowledge of the Spanish language. </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Communication Professional:</w:t>
      </w:r>
      <w:r>
        <w:t xml:space="preserve"> higher education (courses recognized by the Ministry of Education) with at least 5 (five) years of experience in the area of Communication, acting in advisory services of public agencies, agencies/companies or in communication vehicles, and acting as an analyst in public agencies, agencies, and/or reporter, and/or assistant editor. Technical knowledge of the tools available for writing texts and </w:t>
      </w:r>
      <w:r>
        <w:rPr>
          <w:i/>
        </w:rPr>
        <w:t xml:space="preserve">software </w:t>
      </w:r>
      <w:r>
        <w:t xml:space="preserve">used for </w:t>
      </w:r>
      <w:r>
        <w:rPr>
          <w:i/>
        </w:rPr>
        <w:t>mailing</w:t>
      </w:r>
      <w:r>
        <w:t xml:space="preserve"> and dissemination generation. Proficiency in English.</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Junior Communication Professional:</w:t>
      </w:r>
      <w:r>
        <w:t xml:space="preserve"> Higher education (courses recognized by the Ministry of Education) with at least 1 (one) year of experience in the area of Communication, working in agencies/ companies. Technical knowledge of the tools available for writing texts and </w:t>
      </w:r>
      <w:r>
        <w:rPr>
          <w:i/>
        </w:rPr>
        <w:t>software</w:t>
      </w:r>
      <w:r>
        <w:t xml:space="preserve"> used for </w:t>
      </w:r>
      <w:r>
        <w:rPr>
          <w:i/>
        </w:rPr>
        <w:t>mailing</w:t>
      </w:r>
      <w:r>
        <w:t xml:space="preserve"> and dissemination generation. Ability to ascertain information, prepare reports, monitor </w:t>
      </w:r>
      <w:r>
        <w:rPr>
          <w:i/>
        </w:rPr>
        <w:t>clipping</w:t>
      </w:r>
      <w:r>
        <w:t xml:space="preserve"> and carry out </w:t>
      </w:r>
      <w:r>
        <w:rPr>
          <w:i/>
        </w:rPr>
        <w:t>follow-up</w:t>
      </w:r>
      <w:r>
        <w:t xml:space="preserve"> with journalists and also good knowledge in the English language.</w:t>
      </w:r>
    </w:p>
    <w:p>
      <w:pPr>
        <w:spacing w:before="120" w:after="120" w:line="240" w:lineRule="auto"/>
        <w:ind w:left="1800" w:right="120"/>
        <w:jc w:val="both"/>
        <w:rPr>
          <w:rFonts w:ascii="Calibri" w:hAnsi="Calibri" w:cs="Calibri" w:eastAsia="Times New Roman"/>
          <w:color w:val="000000"/>
          <w:sz w:val="27"/>
        </w:rPr>
        <w:pStyle w:val="P68B1DB1-Normal2"/>
      </w:pPr>
      <w:r>
        <w:rPr>
          <w:b/>
        </w:rPr>
        <w:t xml:space="preserve">Film Reporter:</w:t>
      </w:r>
      <w:r>
        <w:t xml:space="preserve"> the professional must have higher education. Must have 05 (five) years of proven experience in the area of journalistic image production, advertising and/or events. Ability to edit images, database and video file.</w:t>
      </w:r>
    </w:p>
    <w:p>
      <w:pPr>
        <w:spacing w:before="120" w:after="120" w:line="240" w:lineRule="auto"/>
        <w:ind w:left="120" w:right="120"/>
        <w:jc w:val="both"/>
        <w:rPr>
          <w:rFonts w:ascii="Calibri" w:hAnsi="Calibri" w:cs="Calibri" w:eastAsia="Times New Roman"/>
          <w:color w:val="000000"/>
          <w:sz w:val="27"/>
        </w:rPr>
        <w:pStyle w:val="P68B1DB1-Normal2"/>
      </w:pPr>
      <w:r>
        <w:t xml:space="preserve">The learning gathered in the execution of the current contracts confirms that the professional profiles and the minimum training and experience requirements are essential requirements for the good provision of services, however, it will be up to the winning bidding company to quantify and qualify the team to meet the needs of EMBRATUR according to the lot and the characteristics of the market. The differentiation between Master, Senior, Full and Junior concerns only training and professional experience. The curricula of the professionals must always pass through the approval of EMBRATUR, through analysis of experience and technical training.</w:t>
      </w:r>
    </w:p>
    <w:p>
      <w:pPr>
        <w:spacing w:before="120" w:after="120" w:line="240" w:lineRule="auto"/>
        <w:ind w:left="120" w:right="120"/>
        <w:jc w:val="both"/>
        <w:rPr>
          <w:rFonts w:ascii="Calibri" w:hAnsi="Calibri" w:cs="Calibri" w:eastAsia="Times New Roman"/>
          <w:color w:val="000000"/>
          <w:sz w:val="27"/>
        </w:rPr>
        <w:pStyle w:val="P68B1DB1-Normal2"/>
      </w:pPr>
      <w:r>
        <w:t xml:space="preserve">Common Competencies (Master and Senior Communication Professionals):</w:t>
      </w:r>
    </w:p>
    <w:p>
      <w:pPr>
        <w:spacing w:before="120" w:after="120" w:line="240" w:lineRule="auto"/>
        <w:ind w:left="120" w:right="120"/>
        <w:jc w:val="both"/>
        <w:rPr>
          <w:rFonts w:ascii="Calibri" w:hAnsi="Calibri" w:cs="Calibri" w:eastAsia="Times New Roman"/>
          <w:color w:val="000000"/>
          <w:sz w:val="27"/>
        </w:rPr>
        <w:pStyle w:val="P68B1DB1-Normal2"/>
      </w:pPr>
      <w:r>
        <w:t xml:space="preserve">Ability to prepare journalistic content;</w:t>
      </w:r>
    </w:p>
    <w:p>
      <w:pPr>
        <w:spacing w:before="120" w:after="120" w:line="240" w:lineRule="auto"/>
        <w:ind w:left="120" w:right="120"/>
        <w:jc w:val="both"/>
        <w:rPr>
          <w:rFonts w:ascii="Calibri" w:hAnsi="Calibri" w:cs="Calibri" w:eastAsia="Times New Roman"/>
          <w:color w:val="000000"/>
          <w:sz w:val="27"/>
        </w:rPr>
        <w:pStyle w:val="P68B1DB1-Normal2"/>
      </w:pPr>
      <w:r>
        <w:t xml:space="preserve">Ability to relate harmoniously with the target audiences to be worked on;</w:t>
      </w:r>
    </w:p>
    <w:p>
      <w:pPr>
        <w:spacing w:before="120" w:after="120" w:line="240" w:lineRule="auto"/>
        <w:ind w:left="120" w:right="120"/>
        <w:jc w:val="both"/>
        <w:rPr>
          <w:rFonts w:ascii="Calibri" w:hAnsi="Calibri" w:cs="Calibri" w:eastAsia="Times New Roman"/>
          <w:color w:val="000000"/>
          <w:sz w:val="27"/>
        </w:rPr>
        <w:pStyle w:val="P68B1DB1-Normal2"/>
      </w:pPr>
      <w:r>
        <w:t xml:space="preserve">Availability for national and international travel;</w:t>
      </w:r>
    </w:p>
    <w:p>
      <w:pPr>
        <w:spacing w:before="120" w:after="120" w:line="240" w:lineRule="auto"/>
        <w:ind w:left="120" w:right="120"/>
        <w:jc w:val="both"/>
        <w:rPr>
          <w:rFonts w:ascii="Calibri" w:hAnsi="Calibri" w:cs="Calibri" w:eastAsia="Times New Roman"/>
          <w:color w:val="000000"/>
          <w:sz w:val="27"/>
        </w:rPr>
        <w:pStyle w:val="P68B1DB1-Normal2"/>
      </w:pPr>
      <w:r>
        <w:t xml:space="preserve">Proof of experience in the respective market.</w:t>
      </w:r>
    </w:p>
    <w:p>
      <w:pPr>
        <w:spacing w:before="120" w:after="120" w:line="240" w:lineRule="auto"/>
        <w:ind w:left="120" w:right="120"/>
        <w:jc w:val="both"/>
        <w:rPr>
          <w:rFonts w:ascii="Calibri" w:hAnsi="Calibri" w:cs="Calibri" w:eastAsia="Times New Roman"/>
          <w:color w:val="000000"/>
          <w:sz w:val="27"/>
        </w:rPr>
        <w:pStyle w:val="P68B1DB1-Normal2"/>
      </w:pPr>
      <w:r>
        <w:t xml:space="preserve">Description of the joint activities:</w:t>
      </w:r>
    </w:p>
    <w:p>
      <w:pPr>
        <w:spacing w:before="120" w:after="120" w:line="240" w:lineRule="auto"/>
        <w:ind w:left="120" w:right="120"/>
        <w:jc w:val="both"/>
        <w:rPr>
          <w:rFonts w:ascii="Calibri" w:hAnsi="Calibri" w:cs="Calibri" w:eastAsia="Times New Roman"/>
          <w:color w:val="000000"/>
          <w:sz w:val="27"/>
        </w:rPr>
        <w:pStyle w:val="P68B1DB1-Normal2"/>
      </w:pPr>
      <w:r>
        <w:t xml:space="preserve">Prepare surveys and opinion polls with specific audiences to collect data and information on matters relevant to Embratur inherent to the activity circumscribed in the object;</w:t>
      </w:r>
    </w:p>
    <w:p>
      <w:pPr>
        <w:spacing w:before="120" w:after="120" w:line="240" w:lineRule="auto"/>
        <w:ind w:left="120" w:right="120"/>
        <w:jc w:val="both"/>
        <w:rPr>
          <w:rFonts w:ascii="Calibri" w:hAnsi="Calibri" w:cs="Calibri" w:eastAsia="Times New Roman"/>
          <w:color w:val="000000"/>
          <w:sz w:val="27"/>
        </w:rPr>
        <w:pStyle w:val="P68B1DB1-Normal2"/>
      </w:pPr>
      <w:r>
        <w:t xml:space="preserve">Prepare surveys and opinion polls with specific audiences to collect data and information on matters relevant to Embratur inherent to the activity circumscribed in the object;  </w:t>
      </w:r>
    </w:p>
    <w:p>
      <w:pPr>
        <w:spacing w:before="120" w:after="120" w:line="240" w:lineRule="auto"/>
        <w:ind w:left="120" w:right="120"/>
        <w:jc w:val="both"/>
        <w:rPr>
          <w:rFonts w:ascii="Calibri" w:hAnsi="Calibri" w:cs="Calibri" w:eastAsia="Times New Roman"/>
          <w:color w:val="000000"/>
          <w:sz w:val="27"/>
        </w:rPr>
        <w:pStyle w:val="P68B1DB1-Normal2"/>
      </w:pPr>
      <w:r>
        <w:t xml:space="preserve">Plan, prepare and implement communication programs, in all its aspects, covering the study of public opinion, diagnosis and counseling therapies;</w:t>
      </w:r>
    </w:p>
    <w:p>
      <w:pPr>
        <w:spacing w:before="120" w:after="120" w:line="240" w:lineRule="auto"/>
        <w:ind w:left="120" w:right="120"/>
        <w:jc w:val="both"/>
        <w:rPr>
          <w:rFonts w:ascii="Calibri" w:hAnsi="Calibri" w:cs="Calibri" w:eastAsia="Times New Roman"/>
          <w:color w:val="000000"/>
          <w:sz w:val="27"/>
        </w:rPr>
        <w:pStyle w:val="P68B1DB1-Normal2"/>
      </w:pPr>
      <w:r>
        <w:t xml:space="preserve">Supervise and update Embratur's dissemination channels for the press in the national and international market;</w:t>
      </w:r>
    </w:p>
    <w:p>
      <w:pPr>
        <w:spacing w:before="120" w:after="120" w:line="240" w:lineRule="auto"/>
        <w:ind w:left="120" w:right="120"/>
        <w:jc w:val="both"/>
        <w:rPr>
          <w:rFonts w:ascii="Calibri" w:hAnsi="Calibri" w:cs="Calibri" w:eastAsia="Times New Roman"/>
          <w:color w:val="000000"/>
          <w:sz w:val="27"/>
        </w:rPr>
        <w:pStyle w:val="P68B1DB1-Normal2"/>
      </w:pPr>
      <w:r>
        <w:t xml:space="preserve">Promote relationships with journalists from the national and international press, according to the themes to be disclosed;</w:t>
      </w:r>
    </w:p>
    <w:p>
      <w:pPr>
        <w:spacing w:before="120" w:after="120" w:line="240" w:lineRule="auto"/>
        <w:ind w:left="120" w:right="120"/>
        <w:jc w:val="both"/>
        <w:rPr>
          <w:rFonts w:ascii="Calibri" w:hAnsi="Calibri" w:cs="Calibri" w:eastAsia="Times New Roman"/>
          <w:color w:val="000000"/>
          <w:sz w:val="27"/>
        </w:rPr>
        <w:pStyle w:val="P68B1DB1-Normal2"/>
      </w:pPr>
      <w:r>
        <w:t xml:space="preserve">Supervise the performance of studies aimed at improving the technique of news and information;</w:t>
      </w:r>
    </w:p>
    <w:p>
      <w:pPr>
        <w:spacing w:before="120" w:after="120" w:line="240" w:lineRule="auto"/>
        <w:ind w:left="120" w:right="120"/>
        <w:jc w:val="both"/>
        <w:rPr>
          <w:rFonts w:ascii="Calibri" w:hAnsi="Calibri" w:cs="Calibri" w:eastAsia="Times New Roman"/>
          <w:color w:val="000000"/>
          <w:sz w:val="27"/>
        </w:rPr>
        <w:pStyle w:val="P68B1DB1-Normal2"/>
      </w:pPr>
      <w:r>
        <w:t xml:space="preserve">Supervise studies on communication systems, aiming at the improvement of existing ones;</w:t>
      </w:r>
    </w:p>
    <w:p>
      <w:pPr>
        <w:spacing w:before="120" w:after="120" w:line="240" w:lineRule="auto"/>
        <w:ind w:left="120" w:right="120"/>
        <w:jc w:val="both"/>
        <w:rPr>
          <w:rFonts w:ascii="Calibri" w:hAnsi="Calibri" w:cs="Calibri" w:eastAsia="Times New Roman"/>
          <w:color w:val="000000"/>
          <w:sz w:val="27"/>
        </w:rPr>
        <w:pStyle w:val="P68B1DB1-Normal2"/>
      </w:pPr>
      <w:r>
        <w:t xml:space="preserve">Select the appropriate dissemination vehicles for each message, considering the subjects, geographical area and audiences of interest;</w:t>
      </w:r>
    </w:p>
    <w:p>
      <w:pPr>
        <w:spacing w:before="120" w:after="120" w:line="240" w:lineRule="auto"/>
        <w:ind w:left="120" w:right="120"/>
        <w:jc w:val="both"/>
        <w:rPr>
          <w:rFonts w:ascii="Calibri" w:hAnsi="Calibri" w:cs="Calibri" w:eastAsia="Times New Roman"/>
          <w:color w:val="000000"/>
          <w:sz w:val="27"/>
        </w:rPr>
        <w:pStyle w:val="P68B1DB1-Normal2"/>
      </w:pPr>
      <w:r>
        <w:t xml:space="preserve">Prepare journalistic content to be distributed to the national and international press or pasted at the disposal of the media, including texts, images and videos on Brazilian tourism products;</w:t>
      </w:r>
    </w:p>
    <w:p>
      <w:pPr>
        <w:spacing w:before="120" w:after="120" w:line="240" w:lineRule="auto"/>
        <w:ind w:left="120" w:right="120"/>
        <w:jc w:val="both"/>
        <w:rPr>
          <w:rFonts w:ascii="Calibri" w:hAnsi="Calibri" w:cs="Calibri" w:eastAsia="Times New Roman"/>
          <w:color w:val="000000"/>
          <w:sz w:val="27"/>
        </w:rPr>
        <w:pStyle w:val="P68B1DB1-Normal2"/>
      </w:pPr>
      <w:r>
        <w:t xml:space="preserve">Inform Embratur about matters of interest to Brazil as a tourist destination, trends and motivations of public opinion in the national and international market;</w:t>
      </w:r>
    </w:p>
    <w:p>
      <w:pPr>
        <w:spacing w:before="120" w:after="120" w:line="240" w:lineRule="auto"/>
        <w:ind w:left="120" w:right="120"/>
        <w:jc w:val="both"/>
        <w:rPr>
          <w:rFonts w:ascii="Calibri" w:hAnsi="Calibri" w:cs="Calibri" w:eastAsia="Times New Roman"/>
          <w:color w:val="000000"/>
          <w:sz w:val="27"/>
        </w:rPr>
        <w:pStyle w:val="P68B1DB1-Normal2"/>
      </w:pPr>
      <w:r>
        <w:t xml:space="preserve">Plan, supervise, coordinate, execute and evaluate, to a level of greatest difficulty, the activities of the area of its specialty;</w:t>
      </w:r>
    </w:p>
    <w:p>
      <w:pPr>
        <w:spacing w:before="120" w:after="120" w:line="240" w:lineRule="auto"/>
        <w:ind w:left="120" w:right="120"/>
        <w:jc w:val="both"/>
        <w:rPr>
          <w:rFonts w:ascii="Calibri" w:hAnsi="Calibri" w:cs="Calibri" w:eastAsia="Times New Roman"/>
          <w:color w:val="000000"/>
          <w:sz w:val="27"/>
        </w:rPr>
        <w:pStyle w:val="P68B1DB1-Normal2"/>
      </w:pPr>
      <w:r>
        <w:t xml:space="preserve">Advise Embratur's spokespersons on matters related to their specialty;</w:t>
      </w:r>
    </w:p>
    <w:p>
      <w:pPr>
        <w:spacing w:before="120" w:after="120" w:line="240" w:lineRule="auto"/>
        <w:ind w:left="120" w:right="120"/>
        <w:jc w:val="both"/>
        <w:rPr>
          <w:rFonts w:ascii="Calibri" w:hAnsi="Calibri" w:cs="Calibri" w:eastAsia="Times New Roman"/>
          <w:color w:val="000000"/>
          <w:sz w:val="27"/>
        </w:rPr>
        <w:pStyle w:val="P68B1DB1-Normal2"/>
      </w:pPr>
      <w:r>
        <w:t xml:space="preserve">Plan, coordinate, monitor and evaluate trips with foreign journalists (press trips), for the purpose of spontaneous experimentation and dissemination of Brazilian tourism products;</w:t>
      </w:r>
    </w:p>
    <w:p>
      <w:pPr>
        <w:spacing w:before="120" w:after="120" w:line="240" w:lineRule="auto"/>
        <w:ind w:left="120" w:right="120"/>
        <w:jc w:val="both"/>
        <w:rPr>
          <w:rFonts w:ascii="Calibri" w:hAnsi="Calibri" w:cs="Calibri" w:eastAsia="Times New Roman"/>
          <w:color w:val="000000"/>
          <w:sz w:val="27"/>
        </w:rPr>
        <w:pStyle w:val="P68B1DB1-Normal2"/>
      </w:pPr>
      <w:r>
        <w:t xml:space="preserve">Issue opinion on a matter within its competence;</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statistical data of its activities;</w:t>
      </w:r>
    </w:p>
    <w:p>
      <w:pPr>
        <w:spacing w:before="120" w:after="120" w:line="240" w:lineRule="auto"/>
        <w:ind w:left="120" w:right="120"/>
        <w:jc w:val="both"/>
        <w:rPr>
          <w:rFonts w:ascii="Calibri" w:hAnsi="Calibri" w:cs="Calibri" w:eastAsia="Times New Roman"/>
          <w:color w:val="000000"/>
          <w:sz w:val="27"/>
        </w:rPr>
        <w:pStyle w:val="P68B1DB1-Normal2"/>
      </w:pPr>
      <w:r>
        <w:t xml:space="preserve">Present reports of activities and results.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INSPECTION</w:t>
      </w:r>
    </w:p>
    <w:p>
      <w:pPr>
        <w:spacing w:before="120" w:after="120" w:line="240" w:lineRule="auto"/>
        <w:ind w:left="120" w:right="120"/>
        <w:jc w:val="both"/>
        <w:rPr>
          <w:rFonts w:ascii="Calibri" w:hAnsi="Calibri" w:cs="Calibri" w:eastAsia="Times New Roman"/>
          <w:color w:val="000000"/>
          <w:sz w:val="27"/>
        </w:rPr>
        <w:pStyle w:val="P68B1DB1-Normal2"/>
      </w:pPr>
      <w:r>
        <w:t xml:space="preserve">It is not planned to carry out an inspection.</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MODEL OF IMPLEMENTATION OF THE SUBJECT MATTER</w:t>
      </w:r>
    </w:p>
    <w:p>
      <w:pPr>
        <w:spacing w:before="120" w:after="120" w:line="240" w:lineRule="auto"/>
        <w:ind w:left="120" w:right="120"/>
        <w:jc w:val="both"/>
        <w:rPr>
          <w:rFonts w:ascii="Calibri" w:hAnsi="Calibri" w:cs="Calibri" w:eastAsia="Times New Roman"/>
          <w:color w:val="000000"/>
          <w:sz w:val="27"/>
        </w:rPr>
        <w:pStyle w:val="P68B1DB1-Normal2"/>
      </w:pPr>
      <w:r>
        <w:t xml:space="preserve">The object's execution will follow the following dynamics: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contractual execution will take place through the provision of services and supply of products, previously demanded by EMBRATUR, via Service Order (OS).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contractual execution (processes, document, etc.) will take place in Portuguese or in the language in force in Brazil. </w:t>
      </w:r>
    </w:p>
    <w:p>
      <w:pPr>
        <w:spacing w:before="120" w:after="120" w:line="240" w:lineRule="auto"/>
        <w:ind w:left="120" w:right="120"/>
        <w:jc w:val="both"/>
        <w:rPr>
          <w:rFonts w:ascii="Calibri" w:hAnsi="Calibri" w:cs="Calibri" w:eastAsia="Times New Roman"/>
          <w:color w:val="000000"/>
          <w:sz w:val="27"/>
        </w:rPr>
        <w:pStyle w:val="P68B1DB1-Normal2"/>
      </w:pPr>
      <w:r>
        <w:t xml:space="preserve">The details of the contractual execution process and demands through a Service Order will be made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The demands will be met by combining the most appropriate products and services to support EMBRATUR in overcoming its challenges and achieving its communication objectives, covering the provisions of letters a) and b) of item 3.1.</w:t>
      </w:r>
    </w:p>
    <w:p>
      <w:pPr>
        <w:spacing w:before="120" w:after="120" w:line="240" w:lineRule="auto"/>
        <w:ind w:left="120" w:right="120"/>
        <w:jc w:val="both"/>
        <w:rPr>
          <w:rFonts w:ascii="Calibri" w:hAnsi="Calibri" w:cs="Calibri" w:eastAsia="Times New Roman"/>
          <w:color w:val="000000"/>
          <w:sz w:val="27"/>
        </w:rPr>
        <w:pStyle w:val="P68B1DB1-Normal2"/>
      </w:pPr>
      <w:r>
        <w:rPr>
          <w:b/>
        </w:rPr>
        <w:t xml:space="preserve">Essential Products and Services </w:t>
      </w:r>
      <w:r>
        <w:t xml:space="preserve">include the Contracting party's elementary needs related to the object of the contract and are grouped in the catalog contained in </w:t>
      </w:r>
      <w:r>
        <w:rPr>
          <w:b/>
        </w:rPr>
        <w:t xml:space="preserve">Appendix I</w:t>
      </w:r>
      <w:r>
        <w:t xml:space="preserve">, according to their purpose and affinity, in the following categories:</w:t>
      </w:r>
    </w:p>
    <w:p>
      <w:pPr>
        <w:spacing w:before="120" w:after="120" w:line="240" w:lineRule="auto"/>
        <w:ind w:left="1800" w:right="120"/>
        <w:jc w:val="both"/>
        <w:rPr>
          <w:rFonts w:ascii="Calibri" w:hAnsi="Calibri" w:cs="Calibri" w:eastAsia="Times New Roman"/>
          <w:color w:val="000000"/>
          <w:sz w:val="27"/>
        </w:rPr>
        <w:pStyle w:val="P68B1DB1-Normal2"/>
      </w:pPr>
      <w:r>
        <w:t xml:space="preserve">Communication and Promotion Strategy;</w:t>
      </w:r>
    </w:p>
    <w:p>
      <w:pPr>
        <w:spacing w:before="120" w:after="120" w:line="240" w:lineRule="auto"/>
        <w:ind w:left="1800" w:right="120"/>
        <w:jc w:val="both"/>
        <w:rPr>
          <w:rFonts w:ascii="Calibri" w:hAnsi="Calibri" w:cs="Calibri" w:eastAsia="Times New Roman"/>
          <w:color w:val="000000"/>
          <w:sz w:val="27"/>
        </w:rPr>
        <w:pStyle w:val="P68B1DB1-Normal2"/>
      </w:pPr>
      <w:r>
        <w:t xml:space="preserve">Press Service;</w:t>
      </w:r>
    </w:p>
    <w:p>
      <w:pPr>
        <w:spacing w:before="120" w:after="120" w:line="240" w:lineRule="auto"/>
        <w:ind w:left="1800" w:right="120"/>
        <w:jc w:val="both"/>
        <w:rPr>
          <w:rFonts w:ascii="Calibri" w:hAnsi="Calibri" w:cs="Calibri" w:eastAsia="Times New Roman"/>
          <w:color w:val="000000"/>
          <w:sz w:val="27"/>
        </w:rPr>
        <w:pStyle w:val="P68B1DB1-Normal2"/>
      </w:pPr>
      <w:r>
        <w:t>Training;</w:t>
      </w:r>
    </w:p>
    <w:p>
      <w:pPr>
        <w:spacing w:before="120" w:after="120" w:line="240" w:lineRule="auto"/>
        <w:ind w:left="1800" w:right="120"/>
        <w:jc w:val="both"/>
        <w:rPr>
          <w:rFonts w:ascii="Calibri" w:hAnsi="Calibri" w:cs="Calibri" w:eastAsia="Times New Roman"/>
          <w:color w:val="000000"/>
          <w:sz w:val="27"/>
        </w:rPr>
        <w:pStyle w:val="P68B1DB1-Normal2"/>
      </w:pPr>
      <w:r>
        <w:t xml:space="preserve">Monitoring and Analysis;</w:t>
      </w:r>
    </w:p>
    <w:p>
      <w:pPr>
        <w:spacing w:before="120" w:after="120" w:line="240" w:lineRule="auto"/>
        <w:ind w:left="1800" w:right="120"/>
        <w:jc w:val="both"/>
        <w:rPr>
          <w:rFonts w:ascii="Calibri" w:hAnsi="Calibri" w:cs="Calibri" w:eastAsia="Times New Roman"/>
          <w:color w:val="000000"/>
          <w:sz w:val="27"/>
        </w:rPr>
        <w:pStyle w:val="P68B1DB1-Normal2"/>
      </w:pPr>
      <w:r>
        <w:t xml:space="preserve">Content Production;</w:t>
      </w:r>
    </w:p>
    <w:p>
      <w:pPr>
        <w:spacing w:before="120" w:after="120" w:line="240" w:lineRule="auto"/>
        <w:ind w:left="1800" w:right="120"/>
        <w:jc w:val="both"/>
        <w:rPr>
          <w:rFonts w:ascii="Calibri" w:hAnsi="Calibri" w:cs="Calibri" w:eastAsia="Times New Roman"/>
          <w:color w:val="000000"/>
          <w:sz w:val="27"/>
        </w:rPr>
        <w:pStyle w:val="P68B1DB1-Normal2"/>
      </w:pPr>
      <w:r>
        <w:t xml:space="preserve">Crisis Prevention;</w:t>
      </w:r>
    </w:p>
    <w:p>
      <w:pPr>
        <w:spacing w:before="120" w:after="120" w:line="240" w:lineRule="auto"/>
        <w:ind w:left="1800" w:right="120"/>
        <w:jc w:val="both"/>
        <w:rPr>
          <w:rFonts w:ascii="Calibri" w:hAnsi="Calibri" w:cs="Calibri" w:eastAsia="Times New Roman"/>
          <w:color w:val="000000"/>
          <w:sz w:val="27"/>
        </w:rPr>
        <w:pStyle w:val="P68B1DB1-Normal2"/>
      </w:pPr>
      <w:r>
        <w:t xml:space="preserve">Image Auditing; and</w:t>
      </w:r>
    </w:p>
    <w:p>
      <w:pPr>
        <w:spacing w:before="120" w:after="120" w:line="240" w:lineRule="auto"/>
        <w:ind w:left="1800" w:right="120"/>
        <w:jc w:val="both"/>
        <w:rPr>
          <w:rFonts w:ascii="Calibri" w:hAnsi="Calibri" w:cs="Calibri" w:eastAsia="Times New Roman"/>
          <w:color w:val="000000"/>
          <w:sz w:val="27"/>
        </w:rPr>
        <w:pStyle w:val="P68B1DB1-Normal2"/>
      </w:pPr>
      <w:r>
        <w:t>Service.</w:t>
      </w:r>
    </w:p>
    <w:p>
      <w:pPr>
        <w:spacing w:before="120" w:after="120" w:line="240" w:lineRule="auto"/>
        <w:ind w:left="120" w:right="120"/>
        <w:jc w:val="both"/>
        <w:rPr>
          <w:rFonts w:ascii="Calibri" w:hAnsi="Calibri" w:cs="Calibri" w:eastAsia="Times New Roman"/>
          <w:color w:val="000000"/>
          <w:sz w:val="27"/>
        </w:rPr>
        <w:pStyle w:val="P68B1DB1-Normal2"/>
      </w:pPr>
      <w:r>
        <w:t xml:space="preserve">The </w:t>
      </w:r>
      <w:r>
        <w:rPr>
          <w:b/>
        </w:rPr>
        <w:t xml:space="preserve">Essential Products and Services </w:t>
      </w:r>
      <w:r>
        <w:t xml:space="preserve">are specified in </w:t>
      </w:r>
      <w:r>
        <w:rPr>
          <w:b/>
        </w:rPr>
        <w:t xml:space="preserve">Appendix I</w:t>
      </w:r>
      <w:r>
        <w:t xml:space="preserve">, with the description of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Title;</w:t>
      </w:r>
    </w:p>
    <w:p>
      <w:pPr>
        <w:spacing w:before="120" w:after="120" w:line="240" w:lineRule="auto"/>
        <w:ind w:left="1800" w:right="120"/>
        <w:jc w:val="both"/>
        <w:rPr>
          <w:rFonts w:ascii="Calibri" w:hAnsi="Calibri" w:cs="Calibri" w:eastAsia="Times New Roman"/>
          <w:color w:val="000000"/>
          <w:sz w:val="27"/>
        </w:rPr>
        <w:pStyle w:val="P68B1DB1-Normal2"/>
      </w:pPr>
      <w:r>
        <w:t>Description;</w:t>
      </w:r>
    </w:p>
    <w:p>
      <w:pPr>
        <w:spacing w:before="120" w:after="120" w:line="240" w:lineRule="auto"/>
        <w:ind w:left="1800" w:right="120"/>
        <w:jc w:val="both"/>
        <w:rPr>
          <w:rFonts w:ascii="Calibri" w:hAnsi="Calibri" w:cs="Calibri" w:eastAsia="Times New Roman"/>
          <w:color w:val="000000"/>
          <w:sz w:val="27"/>
        </w:rPr>
        <w:pStyle w:val="P68B1DB1-Normal2"/>
      </w:pPr>
      <w:r>
        <w:t>Deliveries;</w:t>
      </w:r>
    </w:p>
    <w:p>
      <w:pPr>
        <w:spacing w:before="120" w:after="120" w:line="240" w:lineRule="auto"/>
        <w:ind w:left="1800" w:right="120"/>
        <w:jc w:val="both"/>
        <w:rPr>
          <w:rFonts w:ascii="Calibri" w:hAnsi="Calibri" w:cs="Calibri" w:eastAsia="Times New Roman"/>
          <w:color w:val="000000"/>
          <w:sz w:val="27"/>
        </w:rPr>
        <w:pStyle w:val="P68B1DB1-Normal2"/>
      </w:pPr>
      <w:r>
        <w:t xml:space="preserve">Aspects to be considered in the assessment of the activity;</w:t>
      </w:r>
    </w:p>
    <w:p>
      <w:pPr>
        <w:spacing w:before="120" w:after="120" w:line="240" w:lineRule="auto"/>
        <w:ind w:left="1800" w:right="120"/>
        <w:jc w:val="both"/>
        <w:rPr>
          <w:rFonts w:ascii="Calibri" w:hAnsi="Calibri" w:cs="Calibri" w:eastAsia="Times New Roman"/>
          <w:color w:val="000000"/>
          <w:sz w:val="27"/>
        </w:rPr>
        <w:pStyle w:val="P68B1DB1-Normal2"/>
      </w:pPr>
      <w:r>
        <w:t xml:space="preserve">Characteristics considered in the complexity classification;</w:t>
      </w:r>
    </w:p>
    <w:p>
      <w:pPr>
        <w:spacing w:before="120" w:after="120" w:line="240" w:lineRule="auto"/>
        <w:ind w:left="1800" w:right="120"/>
        <w:jc w:val="both"/>
        <w:rPr>
          <w:rFonts w:ascii="Calibri" w:hAnsi="Calibri" w:cs="Calibri" w:eastAsia="Times New Roman"/>
          <w:color w:val="000000"/>
          <w:sz w:val="27"/>
        </w:rPr>
        <w:pStyle w:val="P68B1DB1-Normal2"/>
      </w:pPr>
      <w:r>
        <w:t xml:space="preserve">Complexity;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20" w:right="120"/>
        <w:jc w:val="both"/>
        <w:rPr>
          <w:rFonts w:ascii="Calibri" w:hAnsi="Calibri" w:cs="Calibri" w:eastAsia="Times New Roman"/>
          <w:color w:val="000000"/>
          <w:sz w:val="27"/>
        </w:rPr>
        <w:pStyle w:val="P68B1DB1-Normal2"/>
      </w:pPr>
      <w:r>
        <w:t xml:space="preserve">The specifications of the Essential Products and Services mentioned in the previous sub-item may be improved by EMBRATUR, whenever the need for greater alignment of the information with the practice experienced with the Contractor is identified, during the contractual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When identified the need to execute an item not provided in the catalog of Essential Products and Services, contained in </w:t>
      </w:r>
      <w:r>
        <w:rPr>
          <w:b/>
        </w:rPr>
        <w:t xml:space="preserve">Appendix I</w:t>
      </w:r>
      <w:r>
        <w:t xml:space="preserve">, but necessary for contractual execution, the Contractor shall submit to EMBRATUR a justification accompanied by the cost estimate and technical specifications, with the description of the same information provided in sub-item 5.3, for the approval of its execution, provided that the item is compatible with the object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After the approval of the execution of the Essential Product and Service, not provided for in the catalog in </w:t>
      </w:r>
      <w:r>
        <w:rPr>
          <w:b/>
        </w:rPr>
        <w:t xml:space="preserve">Appendix I</w:t>
      </w:r>
      <w:r>
        <w:t xml:space="preserve">, the item may become part of the catalog and, if applicable, generate a new category.</w:t>
      </w:r>
    </w:p>
    <w:p>
      <w:pPr>
        <w:spacing w:before="120" w:after="120" w:line="240" w:lineRule="auto"/>
        <w:ind w:left="120" w:right="120"/>
        <w:jc w:val="both"/>
        <w:rPr>
          <w:rFonts w:ascii="Calibri" w:hAnsi="Calibri" w:cs="Calibri" w:eastAsia="Times New Roman"/>
          <w:color w:val="000000"/>
          <w:sz w:val="27"/>
        </w:rPr>
        <w:pStyle w:val="P68B1DB1-Normal2"/>
      </w:pPr>
      <w:r>
        <w:t xml:space="preserve">When the need to execute </w:t>
      </w:r>
      <w:r>
        <w:rPr>
          <w:b/>
        </w:rPr>
        <w:t xml:space="preserve">Complementary Products and Services</w:t>
      </w:r>
      <w:r>
        <w:t xml:space="preserve">, provided through specialized suppliers, is identified, the Contractor shall submit to EMBRATUR a justification accompanied by the technical specifications and the cost estimate, for its approval.</w:t>
      </w:r>
    </w:p>
    <w:p>
      <w:pPr>
        <w:spacing w:before="120" w:after="120" w:line="240" w:lineRule="auto"/>
        <w:ind w:left="120" w:right="120"/>
        <w:jc w:val="both"/>
        <w:rPr>
          <w:rFonts w:ascii="Calibri" w:hAnsi="Calibri" w:cs="Calibri" w:eastAsia="Times New Roman"/>
          <w:color w:val="000000"/>
          <w:sz w:val="27"/>
        </w:rPr>
        <w:pStyle w:val="P68B1DB1-Normal2"/>
      </w:pPr>
      <w:r>
        <w:t xml:space="preserve">The categories of Complementary Products and Services contained in </w:t>
      </w:r>
      <w:r>
        <w:rPr>
          <w:b/>
        </w:rPr>
        <w:t xml:space="preserve">Appendix II</w:t>
      </w:r>
      <w:r>
        <w:t xml:space="preserve"> constitute an exemplary relationship that does not exhaust the contracting of the components indispensable to the perfect contractual execution and can be adjusted to the specific needs of each action, with the prior consent and approval of EMBRATUR, subject to the contractual conditions.</w:t>
      </w:r>
    </w:p>
    <w:p>
      <w:pPr>
        <w:spacing w:before="120" w:after="120" w:line="240" w:lineRule="auto"/>
        <w:ind w:left="120" w:right="120"/>
        <w:jc w:val="both"/>
        <w:rPr>
          <w:rFonts w:ascii="Calibri" w:hAnsi="Calibri" w:cs="Calibri" w:eastAsia="Times New Roman"/>
          <w:color w:val="000000"/>
          <w:sz w:val="27"/>
        </w:rPr>
        <w:pStyle w:val="P68B1DB1-Normal2"/>
      </w:pPr>
      <w:r>
        <w:t xml:space="preserve">After approved by EMBRATUR, the new Product and Complementary Service may become part of </w:t>
      </w:r>
      <w:r>
        <w:rPr>
          <w:b/>
        </w:rPr>
        <w:t xml:space="preserve">Appendix II</w:t>
      </w:r>
      <w:r>
        <w:t xml:space="preserve"> and, if applicable, generate a new category.</w:t>
      </w:r>
    </w:p>
    <w:p>
      <w:pPr>
        <w:spacing w:before="120" w:after="120" w:line="240" w:lineRule="auto"/>
        <w:ind w:left="120" w:right="120"/>
        <w:jc w:val="both"/>
        <w:rPr>
          <w:rFonts w:ascii="Calibri" w:hAnsi="Calibri" w:cs="Calibri" w:eastAsia="Times New Roman"/>
          <w:color w:val="000000"/>
          <w:sz w:val="27"/>
        </w:rPr>
        <w:pStyle w:val="P68B1DB1-Normal2"/>
      </w:pPr>
      <w:r>
        <w:t xml:space="preserve">Observe the following conditions in hiring specialized suppliers to perform </w:t>
      </w:r>
      <w:r>
        <w:rPr>
          <w:b/>
        </w:rPr>
        <w:t xml:space="preserve">Complementary Products and Services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make prior quotations for all Complementary Products and Services to be provided by specialized suppliers;</w:t>
      </w:r>
    </w:p>
    <w:p>
      <w:pPr>
        <w:spacing w:before="120" w:after="120" w:line="240" w:lineRule="auto"/>
        <w:ind w:left="1800" w:right="120"/>
        <w:jc w:val="both"/>
        <w:rPr>
          <w:rFonts w:ascii="Calibri" w:hAnsi="Calibri" w:cs="Calibri" w:eastAsia="Times New Roman"/>
          <w:color w:val="000000"/>
          <w:sz w:val="27"/>
        </w:rPr>
        <w:pStyle w:val="P68B1DB1-Normal2"/>
      </w:pPr>
      <w:r>
        <w:t xml:space="preserve">only submit quotations obtained from specialized suppliers, able to provide the Contractor with Complementary Products and Services, whose categories are set forth in </w:t>
      </w:r>
      <w:r>
        <w:rPr>
          <w:b/>
        </w:rPr>
        <w:t xml:space="preserve">Appendix II</w:t>
      </w:r>
      <w:r>
        <w:t xml:space="preserve"> of this contract;</w:t>
      </w:r>
    </w:p>
    <w:p>
      <w:pPr>
        <w:spacing w:before="120" w:after="120" w:line="240" w:lineRule="auto"/>
        <w:ind w:left="1800" w:right="120"/>
        <w:jc w:val="both"/>
        <w:rPr>
          <w:rFonts w:ascii="Calibri" w:hAnsi="Calibri" w:cs="Calibri" w:eastAsia="Times New Roman"/>
          <w:color w:val="000000"/>
          <w:sz w:val="27"/>
        </w:rPr>
        <w:pStyle w:val="P68B1DB1-Normal2"/>
      </w:pPr>
      <w:r>
        <w:t xml:space="preserve">present at least 03 (three) quotations collected among specialized suppliers operating in the market of the intended supply branch;</w:t>
      </w:r>
    </w:p>
    <w:p>
      <w:pPr>
        <w:spacing w:before="120" w:after="120" w:line="240" w:lineRule="auto"/>
        <w:ind w:left="1800" w:right="120"/>
        <w:jc w:val="both"/>
        <w:rPr>
          <w:rFonts w:ascii="Calibri" w:hAnsi="Calibri" w:cs="Calibri" w:eastAsia="Times New Roman"/>
          <w:color w:val="000000"/>
          <w:sz w:val="27"/>
        </w:rPr>
        <w:pStyle w:val="P68B1DB1-Normal2"/>
      </w:pPr>
      <w:r>
        <w:t xml:space="preserve">require specialized suppliers to include in the quotation of Complementary Products and Services, the details of the specifications that make up their unit and total prices;</w:t>
      </w:r>
    </w:p>
    <w:p>
      <w:pPr>
        <w:spacing w:before="120" w:after="120" w:line="240" w:lineRule="auto"/>
        <w:ind w:left="1800" w:right="120"/>
        <w:jc w:val="both"/>
        <w:rPr>
          <w:rFonts w:ascii="Calibri" w:hAnsi="Calibri" w:cs="Calibri" w:eastAsia="Times New Roman"/>
          <w:color w:val="000000"/>
          <w:sz w:val="27"/>
        </w:rPr>
        <w:pStyle w:val="P68B1DB1-Normal2"/>
      </w:pPr>
      <w:r>
        <w:t xml:space="preserve">the quotation must be presented in original copy, on letterhead, with the identification of the supplier (full business name, CNPJ or CPF, address, telephone, among other data) and the identification (full name, position in the company, RG and CPF) and signature of the person responsible for the quotation;</w:t>
      </w:r>
    </w:p>
    <w:p>
      <w:pPr>
        <w:spacing w:before="120" w:after="120" w:line="240" w:lineRule="auto"/>
        <w:ind w:left="1800" w:right="120"/>
        <w:jc w:val="both"/>
        <w:rPr>
          <w:rFonts w:ascii="Calibri" w:hAnsi="Calibri" w:cs="Calibri" w:eastAsia="Times New Roman"/>
          <w:color w:val="000000"/>
          <w:sz w:val="27"/>
        </w:rPr>
        <w:pStyle w:val="P68B1DB1-Normal2"/>
      </w:pPr>
      <w:r>
        <w:t xml:space="preserve">for each submitted budget, the presence of the following statement, signed by the Contractor's employee responsible for the documentation, must be observed:</w:t>
      </w:r>
    </w:p>
    <w:p>
      <w:pPr>
        <w:spacing w:before="80" w:after="80" w:line="240" w:lineRule="auto"/>
        <w:ind w:left="2400"/>
        <w:jc w:val="both"/>
        <w:rPr>
          <w:rFonts w:ascii="Calibri" w:hAnsi="Calibri" w:cs="Calibri" w:eastAsia="Times New Roman"/>
          <w:color w:val="000000"/>
          <w:sz w:val="20"/>
        </w:rPr>
        <w:pStyle w:val="P68B1DB1-Normal5"/>
      </w:pPr>
      <w:r>
        <w:t xml:space="preserve">"We certify that this budget and its annexes have been checked and are in accordance with the approved technical specification and contractual requirements".</w:t>
      </w:r>
    </w:p>
    <w:p>
      <w:pPr>
        <w:spacing w:before="120" w:after="120" w:line="240" w:lineRule="auto"/>
        <w:ind w:left="120" w:right="120"/>
        <w:jc w:val="both"/>
        <w:rPr>
          <w:rFonts w:ascii="Calibri" w:hAnsi="Calibri" w:cs="Calibri" w:eastAsia="Times New Roman"/>
          <w:color w:val="000000"/>
          <w:sz w:val="27"/>
        </w:rPr>
        <w:pStyle w:val="P68B1DB1-Normal2"/>
      </w:pPr>
      <w:r>
        <w:t xml:space="preserve">When the execution of the Product or Complementary Service has a value greater than 3% (three percent) of the total value of the contract to be signed, the Contractor will collect budgets from suppliers in closed envelopes, which will be opened in a public session, convened and carried out under the supervision of the requesting area.</w:t>
      </w:r>
    </w:p>
    <w:p>
      <w:pPr>
        <w:spacing w:before="120" w:after="120" w:line="240" w:lineRule="auto"/>
        <w:ind w:left="120" w:right="120"/>
        <w:jc w:val="both"/>
        <w:rPr>
          <w:rFonts w:ascii="Calibri" w:hAnsi="Calibri" w:cs="Calibri" w:eastAsia="Times New Roman"/>
          <w:color w:val="000000"/>
          <w:sz w:val="27"/>
        </w:rPr>
        <w:pStyle w:val="P68B1DB1-Normal2"/>
      </w:pPr>
      <w:r>
        <w:t xml:space="preserve">If and when deemed convenient, the Contracting Party may supervise the supplier selection process, carried out by the Contractor, when the execution of the Product or Complementary Service has a value equal to or less than 3% (three percent) of the total value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 In the interest of EMBRATUR, there may be displacements of professionals on duty and, in this case, the Contractor will provide the means of transportation, lodging and food of the designated technicians, being reimbursed, upon accountability as provided for in items c1 and c2 of sub-item 11.20.</w:t>
      </w:r>
    </w:p>
    <w:p>
      <w:pPr>
        <w:spacing w:before="120" w:after="120" w:line="240" w:lineRule="auto"/>
        <w:ind w:left="120" w:right="120"/>
        <w:jc w:val="both"/>
        <w:rPr>
          <w:rFonts w:ascii="Calibri" w:hAnsi="Calibri" w:cs="Calibri" w:eastAsia="Times New Roman"/>
          <w:color w:val="000000"/>
          <w:sz w:val="27"/>
        </w:rPr>
        <w:pStyle w:val="P68B1DB1-Normal2"/>
      </w:pPr>
      <w:r>
        <w:t xml:space="preserve">Any displacement linked to the actions related to the contractual execution must be provided for in the Service Order (OS) and previously approved by the manager.</w:t>
      </w:r>
    </w:p>
    <w:p>
      <w:pPr>
        <w:spacing w:before="120" w:after="120" w:line="240" w:lineRule="auto"/>
        <w:ind w:left="120" w:right="120"/>
        <w:jc w:val="both"/>
        <w:rPr>
          <w:rFonts w:ascii="Calibri" w:hAnsi="Calibri" w:cs="Calibri" w:eastAsia="Times New Roman"/>
          <w:color w:val="000000"/>
          <w:sz w:val="27"/>
        </w:rPr>
        <w:pStyle w:val="P68B1DB1-Normal2"/>
      </w:pPr>
      <w:r>
        <w:t xml:space="preserve">To authorize travel expenses, the Service Order must contain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 xml:space="preserve">employee name;</w:t>
      </w:r>
    </w:p>
    <w:p>
      <w:pPr>
        <w:spacing w:before="120" w:after="120" w:line="240" w:lineRule="auto"/>
        <w:ind w:left="1800" w:right="120"/>
        <w:jc w:val="both"/>
        <w:rPr>
          <w:rFonts w:ascii="Calibri" w:hAnsi="Calibri" w:cs="Calibri" w:eastAsia="Times New Roman"/>
          <w:color w:val="000000"/>
          <w:sz w:val="27"/>
        </w:rPr>
        <w:pStyle w:val="P68B1DB1-Normal2"/>
      </w:pPr>
      <w:r>
        <w:t xml:space="preserve">purpose of the trip;</w:t>
      </w:r>
    </w:p>
    <w:p>
      <w:pPr>
        <w:spacing w:before="120" w:after="120" w:line="240" w:lineRule="auto"/>
        <w:ind w:left="1800" w:right="120"/>
        <w:jc w:val="both"/>
        <w:rPr>
          <w:rFonts w:ascii="Calibri" w:hAnsi="Calibri" w:cs="Calibri" w:eastAsia="Times New Roman"/>
          <w:color w:val="000000"/>
          <w:sz w:val="27"/>
        </w:rPr>
        <w:pStyle w:val="P68B1DB1-Normal2"/>
      </w:pPr>
      <w:r>
        <w:t xml:space="preserve">starting and ending dates of the trip;</w:t>
      </w:r>
    </w:p>
    <w:p>
      <w:pPr>
        <w:spacing w:before="120" w:after="120" w:line="240" w:lineRule="auto"/>
        <w:ind w:left="1800" w:right="120"/>
        <w:jc w:val="both"/>
        <w:rPr>
          <w:rFonts w:ascii="Calibri" w:hAnsi="Calibri" w:cs="Calibri" w:eastAsia="Times New Roman"/>
          <w:color w:val="000000"/>
          <w:sz w:val="27"/>
        </w:rPr>
        <w:pStyle w:val="P68B1DB1-Normal2"/>
      </w:pPr>
      <w:r>
        <w:t xml:space="preserve">estimated ticket price; </w:t>
      </w:r>
    </w:p>
    <w:p>
      <w:pPr>
        <w:spacing w:before="120" w:after="120" w:line="240" w:lineRule="auto"/>
        <w:ind w:left="1800" w:right="120"/>
        <w:jc w:val="both"/>
        <w:rPr>
          <w:rFonts w:ascii="Calibri" w:hAnsi="Calibri" w:cs="Calibri" w:eastAsia="Times New Roman"/>
          <w:color w:val="000000"/>
          <w:sz w:val="27"/>
        </w:rPr>
        <w:pStyle w:val="P68B1DB1-Normal2"/>
      </w:pPr>
      <w:r>
        <w:t xml:space="preserve">prediction of the number of daily rates;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estimated price of travel insurance costs (for international travel). </w:t>
      </w:r>
    </w:p>
    <w:p>
      <w:pPr>
        <w:spacing w:before="120" w:after="120" w:line="240" w:lineRule="auto"/>
        <w:ind w:left="120" w:right="120"/>
        <w:jc w:val="both"/>
        <w:rPr>
          <w:rFonts w:ascii="Calibri" w:hAnsi="Calibri" w:cs="Calibri" w:eastAsia="Times New Roman"/>
          <w:color w:val="000000"/>
          <w:sz w:val="27"/>
        </w:rPr>
        <w:pStyle w:val="P68B1DB1-Normal2"/>
      </w:pPr>
      <w:r>
        <w:t xml:space="preserve">For airline tickets, the use of economy class is defined for any professional in national or international sections.</w:t>
      </w:r>
    </w:p>
    <w:p>
      <w:pPr>
        <w:spacing w:before="120" w:after="120" w:line="240" w:lineRule="auto"/>
        <w:ind w:left="120" w:right="120"/>
        <w:jc w:val="both"/>
        <w:rPr>
          <w:rFonts w:ascii="Calibri" w:hAnsi="Calibri" w:cs="Calibri" w:eastAsia="Times New Roman"/>
          <w:color w:val="000000"/>
          <w:sz w:val="27"/>
        </w:rPr>
        <w:pStyle w:val="P68B1DB1-Normal2"/>
      </w:pPr>
      <w:r>
        <w:t xml:space="preserve">In exceptional travel by means of means of transport other than air, EMBRATUR may approve the transportation based on the presentation, by the Contractor, of previous budgets and accountability in rules similar to those of air tickets according to sub-item 11.19.</w:t>
      </w:r>
    </w:p>
    <w:p>
      <w:pPr>
        <w:spacing w:before="120" w:after="120" w:line="240" w:lineRule="auto"/>
        <w:ind w:left="120" w:right="120"/>
        <w:jc w:val="both"/>
        <w:rPr>
          <w:rFonts w:ascii="Calibri" w:hAnsi="Calibri" w:cs="Calibri" w:eastAsia="Times New Roman"/>
          <w:color w:val="000000"/>
          <w:sz w:val="27"/>
        </w:rPr>
        <w:pStyle w:val="P68B1DB1-Normal2"/>
      </w:pPr>
      <w:r>
        <w:t xml:space="preserve">The execution of any product, service or expense that involves the disbursement of resources must be previously and expressly authorized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execution, the Contractor must have, in addition to a qualified administrative structure, sufficient quantity of professionals who must be available for the execution of the services and supply of the products, object of the contracting.</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professionals referred to in the previous item may be allocated to EMBRATUR's premises, for a fixed period, in order to meet the demands with the quality and deadlines required, in the provision of the products and services listed in </w:t>
      </w:r>
      <w:r>
        <w:rPr>
          <w:b/>
        </w:rPr>
        <w:t xml:space="preserve">Appendix I.</w:t>
      </w:r>
    </w:p>
    <w:p>
      <w:pPr>
        <w:spacing w:before="120" w:after="120" w:line="240" w:lineRule="auto"/>
        <w:ind w:left="120" w:right="120"/>
        <w:jc w:val="both"/>
        <w:rPr>
          <w:rFonts w:ascii="Calibri" w:hAnsi="Calibri" w:cs="Calibri" w:eastAsia="Times New Roman"/>
          <w:color w:val="000000"/>
          <w:sz w:val="27"/>
        </w:rPr>
        <w:pStyle w:val="P68B1DB1-Normal2"/>
      </w:pPr>
      <w:r>
        <w:t xml:space="preserve">The execution, by the Contractor, of products and services on EMBRATUR's premises results from the need for greater proximity between the teams and continuous service that cannot be provided at a distance.</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will provide basic infrastructure to provide the products and services that will be performed on its premises, regarding the physical space and furniture.</w:t>
      </w:r>
    </w:p>
    <w:p>
      <w:pPr>
        <w:spacing w:before="120" w:after="120" w:line="240" w:lineRule="auto"/>
        <w:ind w:left="120" w:right="120"/>
        <w:jc w:val="both"/>
        <w:rPr>
          <w:rFonts w:ascii="Calibri" w:hAnsi="Calibri" w:cs="Calibri" w:eastAsia="Times New Roman"/>
          <w:color w:val="000000"/>
          <w:sz w:val="27"/>
        </w:rPr>
        <w:pStyle w:val="P68B1DB1-Normal2"/>
      </w:pPr>
      <w:r>
        <w:t xml:space="preserve">The hiring of specialized suppliers will only be allowed to provide </w:t>
      </w:r>
      <w:r>
        <w:rPr>
          <w:b/>
        </w:rPr>
        <w:t xml:space="preserve">Complementary Products and Services</w:t>
      </w:r>
      <w:r>
        <w:t xml:space="preserve">, whose categories are described in </w:t>
      </w:r>
      <w:r>
        <w:rPr>
          <w:b/>
        </w:rPr>
        <w:t xml:space="preserve">Appendix II</w:t>
      </w:r>
      <w:r>
        <w:t xml:space="preserve">, and the performance of the Contractor by order and account of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services mentioned in the previous item, it is forbidden to hire, directly or indirectly, an employee, partner or manager of the Contractor, as well as companies in which the Contractor or any of its managers has equity interest.</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execution, the CONTRACTOR must have a sufficient number of professionals, in addition to a qualified administrative structure, which must be available for the fulfillment and execution of the products and services, object of the contracting, whose execution is abroad.</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may request the CONTRACTOR to provide services in any of the countries included in the respective lot, even those that are not included </w:t>
      </w:r>
      <w:r>
        <w:rPr>
          <w:b/>
        </w:rPr>
        <w:t xml:space="preserve">in APPENDIX I </w:t>
      </w:r>
      <w:r>
        <w:t xml:space="preserve"> </w:t>
      </w:r>
      <w:bookmarkStart w:id="1" w:name="_Toc51774388"/>
      <w:r>
        <w:rPr>
          <w:b/>
        </w:rPr>
        <w:t xml:space="preserve">– ANNUAL EXECUTION ESTIMATE SPREADSHEET and UNIT PRICES OF ESSENTIAL PRODUCTS and SERVICES</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intermediation and supervision of the execution of Complementary Products and Services, provided by specialized suppliers, the Contractor shall preserve the rules and conditions of its contract with EMBRATUR, being fully responsible for any and all infractions arising from these situations.</w:t>
      </w:r>
    </w:p>
    <w:p>
      <w:pPr>
        <w:spacing w:before="120" w:after="120" w:line="240" w:lineRule="auto"/>
        <w:ind w:left="120" w:right="120"/>
        <w:jc w:val="both"/>
        <w:rPr>
          <w:rFonts w:ascii="Calibri" w:hAnsi="Calibri" w:cs="Calibri" w:eastAsia="Times New Roman"/>
          <w:color w:val="000000"/>
          <w:sz w:val="27"/>
        </w:rPr>
        <w:pStyle w:val="P68B1DB1-Normal2"/>
      </w:pPr>
      <w:r>
        <w:t xml:space="preserve">Expenses with air tickets, daily rates and travel insurance (in the case of international travel) will be reimbursed by the Contracting Party in the amount effectively disbursed by the Contractor, based on three budgets, with choice of the lowest price, or best cost/benefit ratio.</w:t>
      </w:r>
    </w:p>
    <w:p>
      <w:pPr>
        <w:spacing w:before="120" w:after="120" w:line="240" w:lineRule="auto"/>
        <w:ind w:left="120" w:right="120"/>
        <w:jc w:val="both"/>
        <w:rPr>
          <w:rFonts w:ascii="Calibri" w:hAnsi="Calibri" w:cs="Calibri" w:eastAsia="Times New Roman"/>
          <w:color w:val="000000"/>
          <w:sz w:val="27"/>
        </w:rPr>
        <w:pStyle w:val="P68B1DB1-Normal2"/>
      </w:pPr>
      <w:r>
        <w:t xml:space="preserve">If there is no possibility of submitting 3 (three) quotations, the Contractor shall justify, in writing, the fact to the Contracting party.</w:t>
      </w:r>
    </w:p>
    <w:p>
      <w:pPr>
        <w:spacing w:before="120" w:after="120" w:line="240" w:lineRule="auto"/>
        <w:ind w:left="120" w:right="120"/>
        <w:jc w:val="both"/>
        <w:rPr>
          <w:rFonts w:ascii="Calibri" w:hAnsi="Calibri" w:cs="Calibri" w:eastAsia="Times New Roman"/>
          <w:color w:val="000000"/>
          <w:sz w:val="27"/>
        </w:rPr>
        <w:pStyle w:val="P68B1DB1-Normal2"/>
      </w:pPr>
      <w:r>
        <w:t xml:space="preserve">Exceptionally, if the displacement has to be made through other means of transport, other than air, the Contracting Party may approve based on the presentation, by the Contractor, of previous budgets and accountability in rules similar to those of air tickets.</w:t>
      </w:r>
    </w:p>
    <w:p>
      <w:pPr>
        <w:spacing w:before="120" w:after="120" w:line="240" w:lineRule="auto"/>
        <w:ind w:left="120" w:right="120"/>
        <w:jc w:val="both"/>
        <w:rPr>
          <w:rFonts w:ascii="Calibri" w:hAnsi="Calibri" w:cs="Calibri" w:eastAsia="Times New Roman"/>
          <w:color w:val="000000"/>
          <w:sz w:val="27"/>
        </w:rPr>
        <w:pStyle w:val="P68B1DB1-Normal2"/>
      </w:pPr>
      <w:r>
        <w:t xml:space="preserve">It will be the responsibility of the Contractor to provide the necessary infrastructure of equipment, facilities and supplies, consisting of microcomputers, software, videoconferencing equipment, technological tools and other resources, in order to ensure the perfect execution of the products and services defined in this Basic Project. </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case of essential products that will be provided in Brazil, EMBRATUR will provide this infrastructure of equipment, facilities and supplies, as they are professionals who will be on EMBRATUR's premises.</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execution, the CONTRACTOR must have a sufficient number of professionals, in addition to a qualified administrative structure, which must be available for the fulfillment and execution of the products and services, object of the contracting, whose execution is abroad.</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may request the CONTRACTOR to provide services in any of the countries included in the respective lot.</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products and services must be priced in the currency of the place where the service is provided.</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products and services must be priced in the currency of the place of provision of the service, of the countries indicated in item 1.5 of this Basic Project.</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CONTRACTING PARTY OBLIGATIONS</w:t>
      </w:r>
    </w:p>
    <w:p>
      <w:pPr>
        <w:spacing w:before="120" w:after="120" w:line="240" w:lineRule="auto"/>
        <w:ind w:left="120" w:right="120"/>
        <w:jc w:val="both"/>
        <w:rPr>
          <w:rFonts w:ascii="Calibri" w:hAnsi="Calibri" w:cs="Calibri" w:eastAsia="Times New Roman"/>
          <w:color w:val="000000"/>
          <w:sz w:val="27"/>
        </w:rPr>
        <w:pStyle w:val="P68B1DB1-Normal2"/>
      </w:pPr>
      <w:r>
        <w:t xml:space="preserve">Obligations of the CONTRACTING PARTY:</w:t>
      </w:r>
    </w:p>
    <w:p>
      <w:pPr>
        <w:spacing w:before="120" w:after="120" w:line="240" w:lineRule="auto"/>
        <w:ind w:left="120" w:right="120"/>
        <w:jc w:val="both"/>
        <w:rPr>
          <w:rFonts w:ascii="Calibri" w:hAnsi="Calibri" w:cs="Calibri" w:eastAsia="Times New Roman"/>
          <w:color w:val="000000"/>
          <w:sz w:val="27"/>
        </w:rPr>
        <w:pStyle w:val="P68B1DB1-Normal2"/>
      </w:pPr>
      <w:r>
        <w:t xml:space="preserve">Require compliance with all obligations assumed by the CONTRACTOR, in accordance with the contractual clauses and the terms of its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Carry out monitoring and inspection of the services by a specially designated server, recording in its own registry the detected faults, indicating the day, month and year, as well as the names of the employees possibly involved, and forwarding the notes to the competent authority for the appropriate measures;</w:t>
      </w:r>
    </w:p>
    <w:p>
      <w:pPr>
        <w:spacing w:before="120" w:after="120" w:line="240" w:lineRule="auto"/>
        <w:ind w:left="120" w:right="120"/>
        <w:jc w:val="both"/>
        <w:rPr>
          <w:rFonts w:ascii="Calibri" w:hAnsi="Calibri" w:cs="Calibri" w:eastAsia="Times New Roman"/>
          <w:color w:val="000000"/>
          <w:sz w:val="27"/>
        </w:rPr>
        <w:pStyle w:val="P68B1DB1-Normal2"/>
      </w:pPr>
      <w:r>
        <w:t xml:space="preserve">To notify the CONTRACTOR in writing of the occurrence of any imperfections, flaws or irregularities found in the course of the execution of the services, setting a deadline for their correction, making sure that the solutions proposed by it are the most appropriate;</w:t>
      </w:r>
    </w:p>
    <w:p>
      <w:pPr>
        <w:spacing w:before="120" w:after="120" w:line="240" w:lineRule="auto"/>
        <w:ind w:left="120" w:right="120"/>
        <w:jc w:val="both"/>
        <w:rPr>
          <w:rFonts w:ascii="Calibri" w:hAnsi="Calibri" w:cs="Calibri" w:eastAsia="Times New Roman"/>
          <w:color w:val="000000"/>
          <w:sz w:val="27"/>
        </w:rPr>
        <w:pStyle w:val="P68B1DB1-Normal2"/>
      </w:pPr>
      <w:r>
        <w:t xml:space="preserve">Pay the CONTRACTOR the amount resulting from the provision of the service, within the term and conditions established in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Make the tax withholdings due on the value of the Invoice/Invoice of the contractor, as applicable;</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and make available to the CONTRACTOR the elements and information that are necessary for the execution of the services and the supply of the products;</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conditions for the proper execution of services and the adequate supplying of products;</w:t>
      </w:r>
    </w:p>
    <w:p>
      <w:pPr>
        <w:spacing w:before="120" w:after="120" w:line="240" w:lineRule="auto"/>
        <w:ind w:left="120" w:right="120"/>
        <w:jc w:val="both"/>
        <w:rPr>
          <w:rFonts w:ascii="Calibri" w:hAnsi="Calibri" w:cs="Calibri" w:eastAsia="Times New Roman"/>
          <w:color w:val="000000"/>
          <w:sz w:val="27"/>
        </w:rPr>
        <w:pStyle w:val="P68B1DB1-Normal2"/>
      </w:pPr>
      <w:r>
        <w:t xml:space="preserve">Verify compliance with the contractual clauses related to the fees due to the Contractor and the conditions for hiring specialized suppliers, by the Contractor;</w:t>
      </w:r>
    </w:p>
    <w:p>
      <w:pPr>
        <w:spacing w:before="120" w:after="120" w:line="240" w:lineRule="auto"/>
        <w:ind w:left="120" w:right="120"/>
        <w:jc w:val="both"/>
        <w:rPr>
          <w:rFonts w:ascii="Calibri" w:hAnsi="Calibri" w:cs="Calibri" w:eastAsia="Times New Roman"/>
          <w:color w:val="000000"/>
          <w:sz w:val="27"/>
        </w:rPr>
        <w:pStyle w:val="P68B1DB1-Normal2"/>
      </w:pPr>
      <w:r>
        <w:t xml:space="preserve">Notify the Contractor, formally and in a timely manner, about the irregularities observed in the fulfillment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Notify the Contractor, in writing and in advance, guaranteed the defense, on fines, penalties and any debts of its responsibility;</w:t>
      </w:r>
    </w:p>
    <w:p>
      <w:pPr>
        <w:spacing w:before="120" w:after="120" w:line="240" w:lineRule="auto"/>
        <w:ind w:left="120" w:right="120"/>
        <w:jc w:val="both"/>
        <w:rPr>
          <w:rFonts w:ascii="Calibri" w:hAnsi="Calibri" w:cs="Calibri" w:eastAsia="Times New Roman"/>
          <w:color w:val="000000"/>
          <w:sz w:val="27"/>
        </w:rPr>
        <w:pStyle w:val="P68B1DB1-Normal2"/>
      </w:pPr>
      <w:r>
        <w:t xml:space="preserve">Always make communications to the contractor in writing, exceptionally allowing the use of an electronic message for this purpose.</w:t>
      </w:r>
    </w:p>
    <w:p>
      <w:pPr>
        <w:spacing w:before="120" w:after="120" w:line="240" w:lineRule="auto"/>
        <w:ind w:left="120" w:right="120"/>
        <w:jc w:val="both"/>
        <w:rPr>
          <w:rFonts w:ascii="Calibri" w:hAnsi="Calibri" w:cs="Calibri" w:eastAsia="Times New Roman"/>
          <w:color w:val="000000"/>
          <w:sz w:val="27"/>
        </w:rPr>
        <w:pStyle w:val="P68B1DB1-Normal2"/>
      </w:pPr>
      <w:r>
        <w:t xml:space="preserve">In order to preserve the right of specialized suppliers to receive regularly for the products and services performed, the Contracting Party may institute an alternative control procedure for the Contractor to transfer the amounts due to suppliers in operations concomitant with the credit received from the Contracting party.</w:t>
      </w:r>
    </w:p>
    <w:p>
      <w:pPr>
        <w:spacing w:before="120" w:after="120" w:line="240" w:lineRule="auto"/>
        <w:ind w:left="120" w:right="120"/>
        <w:jc w:val="both"/>
        <w:rPr>
          <w:rFonts w:ascii="Calibri" w:hAnsi="Calibri" w:cs="Calibri" w:eastAsia="Times New Roman"/>
          <w:color w:val="000000"/>
          <w:sz w:val="27"/>
        </w:rPr>
        <w:pStyle w:val="P68B1DB1-Normal2"/>
      </w:pPr>
      <w:r>
        <w:t xml:space="preserve">On an exceptional basis, the Contracting Party may, directly, settle expenses and make payments to suppliers.</w:t>
      </w:r>
    </w:p>
    <w:p>
      <w:pPr>
        <w:spacing w:before="120" w:after="120" w:line="240" w:lineRule="auto"/>
        <w:ind w:left="120" w:right="120"/>
        <w:jc w:val="both"/>
        <w:rPr>
          <w:rFonts w:ascii="Calibri" w:hAnsi="Calibri" w:cs="Calibri" w:eastAsia="Times New Roman"/>
          <w:color w:val="000000"/>
          <w:sz w:val="27"/>
        </w:rPr>
        <w:pStyle w:val="P68B1DB1-Normal2"/>
      </w:pPr>
      <w:r>
        <w:t xml:space="preserve">CMB will not be liable for any commitments made by the CONTRACTOR to third parties, even if linked to the execution of this Agreement, as well as for any damage caused to third parties as a result of any act made by the CONTRACTOR, its employees, agents or subordinates.</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is required to monitor the execution of the products and services object of the contract to be signed, together with a representative accredited by the Contractor.</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CONTRACTOR'S OBLIGATIONS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is obligated to:</w:t>
      </w:r>
    </w:p>
    <w:p>
      <w:pPr>
        <w:spacing w:before="120" w:after="120" w:line="240" w:lineRule="auto"/>
        <w:ind w:left="120" w:right="120"/>
        <w:jc w:val="both"/>
        <w:rPr>
          <w:rFonts w:ascii="Calibri" w:hAnsi="Calibri" w:cs="Calibri" w:eastAsia="Times New Roman"/>
          <w:color w:val="000000"/>
          <w:sz w:val="27"/>
        </w:rPr>
        <w:pStyle w:val="P68B1DB1-Normal2"/>
      </w:pPr>
      <w:r>
        <w:t xml:space="preserve">To execute the contract in accordance with the specifications of this Basic Project and its proposal, with the allocation of employees necessary for the perfect fulfillment of the contractual clauses, in addition to providing and using the necessary materials and equipment, tools and utensils, in the minimum quality and quantity specified in this Basic Project and in your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To repair, correct, remove or replace, at its own expense, in whole or in part, within the period set by the contract auditor, any services performed in which there are defects, imperfections or errors resulting from the execution or materials employed.</w:t>
      </w:r>
    </w:p>
    <w:p>
      <w:pPr>
        <w:spacing w:before="120" w:after="120" w:line="240" w:lineRule="auto"/>
        <w:ind w:left="120" w:right="120"/>
        <w:jc w:val="both"/>
        <w:rPr>
          <w:rFonts w:ascii="Calibri" w:hAnsi="Calibri" w:cs="Calibri" w:eastAsia="Times New Roman"/>
          <w:color w:val="000000"/>
          <w:sz w:val="27"/>
        </w:rPr>
        <w:pStyle w:val="P68B1DB1-Normal2"/>
      </w:pPr>
      <w:r>
        <w:t xml:space="preserve">Be responsible for the defects and damages resulting from the execution of the object, as well as for any and all damages caused to Embratur, and must immediately reimburse the Contracting Party in its entirety.</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Contracting Party is authorized to deduct from the guarantee required in the notice or payments due to the Contractor, the amount corresponding to the damages suffered.</w:t>
      </w:r>
    </w:p>
    <w:p>
      <w:pPr>
        <w:spacing w:before="120" w:after="120" w:line="240" w:lineRule="auto"/>
        <w:ind w:left="120" w:right="120"/>
        <w:jc w:val="both"/>
        <w:rPr>
          <w:rFonts w:ascii="Calibri" w:hAnsi="Calibri" w:cs="Calibri" w:eastAsia="Times New Roman"/>
          <w:color w:val="000000"/>
          <w:sz w:val="27"/>
        </w:rPr>
        <w:pStyle w:val="P68B1DB1-Normal2"/>
      </w:pPr>
      <w:r>
        <w:t xml:space="preserve">Use qualified employees with basic knowledge of the services to be performed, in accordance with the rules and regulations in force;</w:t>
      </w:r>
    </w:p>
    <w:p>
      <w:pPr>
        <w:spacing w:before="120" w:after="120" w:line="240" w:lineRule="auto"/>
        <w:ind w:left="120" w:right="120"/>
        <w:jc w:val="both"/>
        <w:rPr>
          <w:rFonts w:ascii="Calibri" w:hAnsi="Calibri" w:cs="Calibri" w:eastAsia="Times New Roman"/>
          <w:color w:val="000000"/>
          <w:sz w:val="27"/>
        </w:rPr>
        <w:pStyle w:val="P68B1DB1-Normal2"/>
      </w:pPr>
      <w:r>
        <w:t xml:space="preserve">To communicate to the contract Supervisor, within 24 (twenty-four) hours, any abnormal occurrence or accident that occurs at the location of the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To provide any clarification or information requested by the Contracting Party or its agents, guaranteeing them access, at any time, to the place of work, as well as to the documents relating to the execution of the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Submit in advance, in writing, to the Contracting Party, for analysis and approval, any changes in the executive methods that go beyond the specifications of the Agreement or the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To provide services within the established parameters and routines, providing all materials, equipment and utensils in adequate quantity, quality and technology, in compliance with the recommendations accepted by good technique, standards and legislation;</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the means of transport, lodging and food of the designated technicians, being reimbursed, through accountability, when, in the interest of EMBRATUR, there is a displacement of professionals on duty.</w:t>
      </w:r>
    </w:p>
    <w:p>
      <w:pPr>
        <w:spacing w:before="120" w:after="120" w:line="240" w:lineRule="auto"/>
        <w:ind w:left="120" w:right="120"/>
        <w:jc w:val="both"/>
        <w:rPr>
          <w:rFonts w:ascii="Calibri" w:hAnsi="Calibri" w:cs="Calibri" w:eastAsia="Times New Roman"/>
          <w:color w:val="000000"/>
          <w:sz w:val="27"/>
        </w:rPr>
        <w:pStyle w:val="P68B1DB1-Normal2"/>
      </w:pPr>
      <w:r>
        <w:t xml:space="preserve">Ensure that all displacement linked to actions related to contractual execution is provided for in the Service Order and duly approved by the contract manager.</w:t>
      </w:r>
    </w:p>
    <w:p>
      <w:pPr>
        <w:spacing w:before="120" w:after="120" w:line="240" w:lineRule="auto"/>
        <w:ind w:left="120" w:right="120"/>
        <w:jc w:val="both"/>
        <w:rPr>
          <w:rFonts w:ascii="Calibri" w:hAnsi="Calibri" w:cs="Calibri" w:eastAsia="Times New Roman"/>
          <w:color w:val="000000"/>
          <w:sz w:val="27"/>
        </w:rPr>
        <w:pStyle w:val="P68B1DB1-Normal2"/>
      </w:pPr>
      <w:r>
        <w:t xml:space="preserve">Operate with complete organization and provide high quality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the products and services related to the object of the contract to be signed in accordance with the specifications stipulated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Perform all services related to the object of the contract to be signed, upon request of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Exercise quality control in the execution of the services provided, based on the parameters determined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Obtain prior authorization from EMBRATUR, in writing, to carry out any expense related to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Immediately take action in case of changes, rejections, cancellations or interruptions of one or more services, upon communication from EMBRATUR, respecting the contractual obligations already assumed with specialized suppliers, provided that the occurrences have not been caused by them.</w:t>
      </w:r>
    </w:p>
    <w:p>
      <w:pPr>
        <w:spacing w:before="120" w:after="120" w:line="240" w:lineRule="auto"/>
        <w:ind w:left="120" w:right="120"/>
        <w:jc w:val="both"/>
        <w:rPr>
          <w:rFonts w:ascii="Calibri" w:hAnsi="Calibri" w:cs="Calibri" w:eastAsia="Times New Roman"/>
          <w:color w:val="000000"/>
          <w:sz w:val="27"/>
        </w:rPr>
        <w:pStyle w:val="P68B1DB1-Normal2"/>
      </w:pPr>
      <w:r>
        <w:t xml:space="preserve">Maintain, during the execution of the contract to be signed, all the conditions of qualification required in the competition that gave rise to said instrument.</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the professionals involved in the contractual execution, </w:t>
      </w:r>
      <w:r>
        <w:rPr>
          <w:u w:val="single"/>
        </w:rPr>
        <w:t xml:space="preserve">inside and outside their premises</w:t>
      </w:r>
      <w:r>
        <w:t xml:space="preserve">, with the necessary infrastructure of equipment and supplies, consisting of access to the Internet through broadband (wired and wireless), microcomputers, </w:t>
      </w:r>
      <w:r>
        <w:rPr>
          <w:i/>
        </w:rPr>
        <w:t>software</w:t>
      </w:r>
      <w:r>
        <w:t xml:space="preserve">, videoconferencing equipment, technological tools and other resources, in order to ensure the perfect contractual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Allocate the necessary number of agents to ensure the best intermediation with EMBRATUR, observing the profiles necessary for each activity included in the contractual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Make efforts to obtain the best conditions in commercial negotiations with specialized suppliers and transfer to EMBRATUR all the advantages obtained.</w:t>
      </w:r>
    </w:p>
    <w:p>
      <w:pPr>
        <w:spacing w:before="120" w:after="120" w:line="240" w:lineRule="auto"/>
        <w:ind w:left="120" w:right="120"/>
        <w:jc w:val="both"/>
        <w:rPr>
          <w:rFonts w:ascii="Calibri" w:hAnsi="Calibri" w:cs="Calibri" w:eastAsia="Times New Roman"/>
          <w:color w:val="000000"/>
          <w:sz w:val="27"/>
        </w:rPr>
        <w:pStyle w:val="P68B1DB1-Normal2"/>
      </w:pPr>
      <w:r>
        <w:t xml:space="preserve">Preserve the rules and conditions of the contract with EMBRATUR in the intermediation and supervision of the services provided by specialized suppliers and fully respond for any and all infractions arising from these situations.</w:t>
      </w:r>
    </w:p>
    <w:p>
      <w:pPr>
        <w:spacing w:before="120" w:after="120" w:line="240" w:lineRule="auto"/>
        <w:ind w:left="120" w:right="120"/>
        <w:jc w:val="both"/>
        <w:rPr>
          <w:rFonts w:ascii="Calibri" w:hAnsi="Calibri" w:cs="Calibri" w:eastAsia="Times New Roman"/>
          <w:color w:val="000000"/>
          <w:sz w:val="27"/>
        </w:rPr>
        <w:pStyle w:val="P68B1DB1-Normal2"/>
      </w:pPr>
      <w:r>
        <w:t xml:space="preserve">Maintain, by itself and its agents, unrestricted and total secrecy about any information provided to it, especially regarding EMBRATUR's performance strategy.</w:t>
      </w:r>
    </w:p>
    <w:p>
      <w:pPr>
        <w:spacing w:before="120" w:after="120" w:line="240" w:lineRule="auto"/>
        <w:ind w:left="120" w:right="120"/>
        <w:jc w:val="both"/>
        <w:rPr>
          <w:rFonts w:ascii="Calibri" w:hAnsi="Calibri" w:cs="Calibri" w:eastAsia="Times New Roman"/>
          <w:color w:val="000000"/>
          <w:sz w:val="27"/>
        </w:rPr>
        <w:pStyle w:val="P68B1DB1-Normal2"/>
      </w:pPr>
      <w:r>
        <w:t xml:space="preserve">Do not disclose information about the provision of the services object of the contract to be signed, involving the name of the Contracting Party, without its prior and express authorization.</w:t>
      </w:r>
    </w:p>
    <w:p>
      <w:pPr>
        <w:spacing w:before="120" w:after="120" w:line="240" w:lineRule="auto"/>
        <w:ind w:left="120" w:right="120"/>
        <w:jc w:val="both"/>
        <w:rPr>
          <w:rFonts w:ascii="Calibri" w:hAnsi="Calibri" w:cs="Calibri" w:eastAsia="Times New Roman"/>
          <w:color w:val="000000"/>
          <w:sz w:val="27"/>
        </w:rPr>
        <w:pStyle w:val="P68B1DB1-Normal2"/>
      </w:pPr>
      <w:r>
        <w:t xml:space="preserve">Sign a Term of Commitment regarding confidentiality and secrecy, according to the model defined by EMBRATUR, undertaking, by itself and its agents, not to pass on the knowledge of confidential information, being responsible for all persons who may have access to the information, through it, and thus undertaking to reimburse the occurrence of any damage or loss arising from any breach of confidentiality of the information provided.</w:t>
      </w:r>
    </w:p>
    <w:p>
      <w:pPr>
        <w:spacing w:before="120" w:after="120" w:line="240" w:lineRule="auto"/>
        <w:ind w:left="120" w:right="120"/>
        <w:jc w:val="both"/>
        <w:rPr>
          <w:rFonts w:ascii="Calibri" w:hAnsi="Calibri" w:cs="Calibri" w:eastAsia="Times New Roman"/>
          <w:color w:val="000000"/>
          <w:sz w:val="27"/>
        </w:rPr>
        <w:pStyle w:val="P68B1DB1-Normal2"/>
      </w:pPr>
      <w:r>
        <w:t xml:space="preserve">Comply with all relevant international, federal, state and municipal laws and positions and be responsible for all losses arising from infractions to which it has given rise.</w:t>
      </w:r>
    </w:p>
    <w:p>
      <w:pPr>
        <w:spacing w:before="120" w:after="120" w:line="240" w:lineRule="auto"/>
        <w:ind w:left="120" w:right="120"/>
        <w:jc w:val="both"/>
        <w:rPr>
          <w:rFonts w:ascii="Calibri" w:hAnsi="Calibri" w:cs="Calibri" w:eastAsia="Times New Roman"/>
          <w:color w:val="000000"/>
          <w:sz w:val="27"/>
        </w:rPr>
        <w:pStyle w:val="P68B1DB1-Normal2"/>
      </w:pPr>
      <w:r>
        <w:t xml:space="preserve">Comply with labor and insurance legislation with respect to its employees.</w:t>
      </w:r>
    </w:p>
    <w:p>
      <w:pPr>
        <w:spacing w:before="120" w:after="120" w:line="240" w:lineRule="auto"/>
        <w:ind w:left="120" w:right="120"/>
        <w:jc w:val="both"/>
        <w:rPr>
          <w:rFonts w:ascii="Calibri" w:hAnsi="Calibri" w:cs="Calibri" w:eastAsia="Times New Roman"/>
          <w:color w:val="000000"/>
          <w:sz w:val="27"/>
        </w:rPr>
        <w:pStyle w:val="P68B1DB1-Normal2"/>
      </w:pPr>
      <w:r>
        <w:t xml:space="preserve">Assume, exclusively, all taxes (taxes and fees) that are due as a result of the object of the contract to be signed, as well as the contributions due to Social Security, labor charges, insurance premiums and work accidents, charges that may be created and required by the Government and other expenses that may be necessary to fulfill the agreed object.</w:t>
      </w:r>
    </w:p>
    <w:p>
      <w:pPr>
        <w:spacing w:before="120" w:after="120" w:line="240" w:lineRule="auto"/>
        <w:ind w:left="120" w:right="120"/>
        <w:jc w:val="both"/>
        <w:rPr>
          <w:rFonts w:ascii="Calibri" w:hAnsi="Calibri" w:cs="Calibri" w:eastAsia="Times New Roman"/>
          <w:color w:val="000000"/>
          <w:sz w:val="27"/>
        </w:rPr>
        <w:pStyle w:val="P68B1DB1-Normal2"/>
      </w:pPr>
      <w:r>
        <w:t xml:space="preserve">Be responsible for undue payments or for the total or partial omission in the collection of taxes that affect or will affect the services provided.</w:t>
      </w:r>
    </w:p>
    <w:p>
      <w:pPr>
        <w:spacing w:before="120" w:after="120" w:line="240" w:lineRule="auto"/>
        <w:ind w:left="120" w:right="120"/>
        <w:jc w:val="both"/>
        <w:rPr>
          <w:rFonts w:ascii="Calibri" w:hAnsi="Calibri" w:cs="Calibri" w:eastAsia="Times New Roman"/>
          <w:color w:val="000000"/>
          <w:sz w:val="27"/>
        </w:rPr>
        <w:pStyle w:val="P68B1DB1-Normal2"/>
      </w:pPr>
      <w:r>
        <w:t xml:space="preserve">Submit, when requested by EMBRATUR, proof that all its labor, social security and tax charges and obligations related to the contract are being satisfied.</w:t>
      </w:r>
    </w:p>
    <w:p>
      <w:pPr>
        <w:spacing w:before="120" w:after="120" w:line="240" w:lineRule="auto"/>
        <w:ind w:left="120" w:right="120"/>
        <w:jc w:val="both"/>
        <w:rPr>
          <w:rFonts w:ascii="Calibri" w:hAnsi="Calibri" w:cs="Calibri" w:eastAsia="Times New Roman"/>
          <w:color w:val="000000"/>
          <w:sz w:val="27"/>
        </w:rPr>
        <w:pStyle w:val="P68B1DB1-Normal2"/>
      </w:pPr>
      <w:r>
        <w:t xml:space="preserve">Respond to EMBRATUR for any losses and damages arising from its delay, omission or error, in the conduct of the services object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Be responsible for any liens arising from omissions or errors in the preparation of cost estimates and which result in increased expenses for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Be responsible for the burden resulting from any actions, demands, costs and expenses arising from damages caused by guilt, intent or omission of its employees and agents, as well as be bound by any responsibilities arising from administrative or judicial actions that may be attributed to it by force of law, related to the fulfillment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event of a labor action involving the services provided, adopt the necessary measures to preserve EMBRATUR and keep it safe from claims, demands, complaints or representations of any nature and, failing </w:t>
      </w:r>
      <w:r>
        <w:rPr>
          <w:u w:val="single"/>
        </w:rPr>
        <w:t xml:space="preserve">to do so, if there is a conviction, reimburse</w:t>
      </w:r>
      <w:r>
        <w:t xml:space="preserve"> EMBRATUR for the amounts that it has been required to pay, within the non-extendable period of </w:t>
      </w:r>
      <w:r>
        <w:rPr>
          <w:u w:val="single"/>
        </w:rPr>
        <w:t xml:space="preserve">10 (ten) business days</w:t>
      </w:r>
      <w:r>
        <w:t xml:space="preserve"> from the date of actual payment.</w:t>
      </w:r>
    </w:p>
    <w:p>
      <w:pPr>
        <w:spacing w:before="120" w:after="120" w:line="240" w:lineRule="auto"/>
        <w:ind w:left="120" w:right="120"/>
        <w:jc w:val="both"/>
        <w:rPr>
          <w:rFonts w:ascii="Calibri" w:hAnsi="Calibri" w:cs="Calibri" w:eastAsia="Times New Roman"/>
          <w:color w:val="000000"/>
          <w:sz w:val="27"/>
        </w:rPr>
        <w:pStyle w:val="P68B1DB1-Normal2"/>
      </w:pPr>
      <w:r>
        <w:t xml:space="preserve">Respond for any administrative or judicial action brought by third parties based on the legislation of protection of intellectual property, property rights or copyright, related to the services object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Provide clarification to EMBRATUR on any discrediting acts or facts reported involving the contractor, regardless of request.</w:t>
      </w:r>
    </w:p>
    <w:p>
      <w:pPr>
        <w:spacing w:before="120" w:after="120" w:line="240" w:lineRule="auto"/>
        <w:ind w:left="120" w:right="120"/>
        <w:jc w:val="both"/>
        <w:rPr>
          <w:rFonts w:ascii="Calibri" w:hAnsi="Calibri" w:cs="Calibri" w:eastAsia="Times New Roman"/>
          <w:color w:val="000000"/>
          <w:sz w:val="27"/>
        </w:rPr>
        <w:pStyle w:val="P68B1DB1-Normal2"/>
      </w:pPr>
      <w:r>
        <w:t xml:space="preserve">Do not guarantee or use the contract to be signed as collateral for any financial transaction.</w:t>
      </w:r>
    </w:p>
    <w:p>
      <w:pPr>
        <w:spacing w:before="120" w:after="120" w:line="240" w:lineRule="auto"/>
        <w:ind w:left="120" w:right="120"/>
        <w:jc w:val="both"/>
        <w:rPr>
          <w:rFonts w:ascii="Calibri" w:hAnsi="Calibri" w:cs="Calibri" w:eastAsia="Times New Roman"/>
          <w:color w:val="000000"/>
          <w:sz w:val="27"/>
        </w:rPr>
        <w:pStyle w:val="P68B1DB1-Normal2"/>
      </w:pPr>
      <w:r>
        <w:t xml:space="preserve">Adopt, in the execution of the services, good practices of environmental sustainability, resource optimization, waste reduction and pollution reduction.</w:t>
      </w:r>
    </w:p>
    <w:p>
      <w:pPr>
        <w:spacing w:before="120" w:after="120" w:line="240" w:lineRule="auto"/>
        <w:ind w:left="120" w:right="120"/>
        <w:jc w:val="both"/>
        <w:rPr>
          <w:rFonts w:ascii="Calibri" w:hAnsi="Calibri" w:cs="Calibri" w:eastAsia="Times New Roman"/>
          <w:color w:val="000000"/>
          <w:sz w:val="27"/>
        </w:rPr>
        <w:pStyle w:val="P68B1DB1-Normal2"/>
      </w:pPr>
      <w:r>
        <w:t xml:space="preserve">Observe the conditions for the supply of products and services to EMBRATUR established in the Notice that gave rise to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Observe and comply with the provisions contained in the </w:t>
      </w:r>
      <w:r>
        <w:rPr>
          <w:b/>
        </w:rPr>
        <w:t xml:space="preserve">Risk Matrix of this Basic Project (item 18.9).</w:t>
      </w:r>
    </w:p>
    <w:p>
      <w:pPr>
        <w:spacing w:before="120" w:after="120" w:line="240" w:lineRule="auto"/>
        <w:ind w:left="120" w:right="120"/>
        <w:jc w:val="both"/>
        <w:rPr>
          <w:rFonts w:ascii="Calibri" w:hAnsi="Calibri" w:cs="Calibri" w:eastAsia="Times New Roman"/>
          <w:color w:val="000000"/>
          <w:sz w:val="27"/>
        </w:rPr>
        <w:pStyle w:val="P68B1DB1-Normal2"/>
      </w:pPr>
      <w:r>
        <w:t xml:space="preserve">Allocate the necessary number of agents to ensure the best intermediation with EMBRATUR, observing the profiles necessary for each activity included in the contractual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Make payments due to specialized suppliers within 10 (ten) days after the credit in your account, from the Bank Order issued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Deliver to EMBRATUR, by the 10th (tenth) day of the month following the payment, a consolidated report of the payments made to specialized suppliers in the previous month;</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consolidated report on payments to specialised suppliers shall contain at least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 xml:space="preserve">Service Order No.;</w:t>
      </w:r>
    </w:p>
    <w:p>
      <w:pPr>
        <w:spacing w:before="120" w:after="120" w:line="240" w:lineRule="auto"/>
        <w:ind w:left="1800" w:right="120"/>
        <w:jc w:val="both"/>
        <w:rPr>
          <w:rFonts w:ascii="Calibri" w:hAnsi="Calibri" w:cs="Calibri" w:eastAsia="Times New Roman"/>
          <w:color w:val="000000"/>
          <w:sz w:val="27"/>
        </w:rPr>
        <w:pStyle w:val="P68B1DB1-Normal2"/>
      </w:pPr>
      <w:r>
        <w:t xml:space="preserve">date of credit of the Contracting party's bank order;</w:t>
      </w:r>
    </w:p>
    <w:p>
      <w:pPr>
        <w:spacing w:before="120" w:after="120" w:line="240" w:lineRule="auto"/>
        <w:ind w:left="1800" w:right="120"/>
        <w:jc w:val="both"/>
        <w:rPr>
          <w:rFonts w:ascii="Calibri" w:hAnsi="Calibri" w:cs="Calibri" w:eastAsia="Times New Roman"/>
          <w:color w:val="000000"/>
          <w:sz w:val="27"/>
        </w:rPr>
        <w:pStyle w:val="P68B1DB1-Normal2"/>
      </w:pPr>
      <w:r>
        <w:t xml:space="preserve">date of payment to the specialized supplier by the contractor;</w:t>
      </w:r>
    </w:p>
    <w:p>
      <w:pPr>
        <w:spacing w:before="120" w:after="120" w:line="240" w:lineRule="auto"/>
        <w:ind w:left="1800" w:right="120"/>
        <w:jc w:val="both"/>
        <w:rPr>
          <w:rFonts w:ascii="Calibri" w:hAnsi="Calibri" w:cs="Calibri" w:eastAsia="Times New Roman"/>
          <w:color w:val="000000"/>
          <w:sz w:val="27"/>
        </w:rPr>
        <w:pStyle w:val="P68B1DB1-Normal2"/>
      </w:pPr>
      <w:r>
        <w:t xml:space="preserve">name of the specialised supplier favoured;</w:t>
      </w:r>
    </w:p>
    <w:p>
      <w:pPr>
        <w:spacing w:before="120" w:after="120" w:line="240" w:lineRule="auto"/>
        <w:ind w:left="1800" w:right="120"/>
        <w:jc w:val="both"/>
        <w:rPr>
          <w:rFonts w:ascii="Calibri" w:hAnsi="Calibri" w:cs="Calibri" w:eastAsia="Times New Roman"/>
          <w:color w:val="000000"/>
          <w:sz w:val="27"/>
        </w:rPr>
        <w:pStyle w:val="P68B1DB1-Normal2"/>
      </w:pPr>
      <w:r>
        <w:t xml:space="preserve">tax document number;</w:t>
      </w:r>
    </w:p>
    <w:p>
      <w:pPr>
        <w:spacing w:before="120" w:after="120" w:line="240" w:lineRule="auto"/>
        <w:ind w:left="1800" w:right="120"/>
        <w:jc w:val="both"/>
        <w:rPr>
          <w:rFonts w:ascii="Calibri" w:hAnsi="Calibri" w:cs="Calibri" w:eastAsia="Times New Roman"/>
          <w:color w:val="000000"/>
          <w:sz w:val="27"/>
        </w:rPr>
        <w:pStyle w:val="P68B1DB1-Normal2"/>
      </w:pPr>
      <w:r>
        <w:t xml:space="preserve">payment amount.</w:t>
      </w:r>
    </w:p>
    <w:p>
      <w:pPr>
        <w:spacing w:before="120" w:after="120" w:line="240" w:lineRule="auto"/>
        <w:ind w:left="120" w:right="120"/>
        <w:jc w:val="both"/>
        <w:rPr>
          <w:rFonts w:ascii="Calibri" w:hAnsi="Calibri" w:cs="Calibri" w:eastAsia="Times New Roman"/>
          <w:color w:val="000000"/>
          <w:sz w:val="27"/>
        </w:rPr>
        <w:pStyle w:val="P68B1DB1-Normal2"/>
      </w:pPr>
      <w:r>
        <w:t xml:space="preserve">Failure to comply with the provisions of sub-items 7.1.42 or failure to present a plausible justification for non-payment within the stipulated period may imply the suspension of the settlement of the CONTRACTOR's expenses, until the pending issue is resolved;</w:t>
      </w:r>
    </w:p>
    <w:p>
      <w:pPr>
        <w:spacing w:before="120" w:after="120" w:line="240" w:lineRule="auto"/>
        <w:ind w:left="120" w:right="120"/>
        <w:jc w:val="both"/>
        <w:rPr>
          <w:rFonts w:ascii="Calibri" w:hAnsi="Calibri" w:cs="Calibri" w:eastAsia="Times New Roman"/>
          <w:color w:val="000000"/>
          <w:sz w:val="27"/>
        </w:rPr>
        <w:pStyle w:val="P68B1DB1-Normal2"/>
      </w:pPr>
      <w:r>
        <w:t xml:space="preserve">If the pending issue is not resolved within </w:t>
      </w:r>
      <w:r>
        <w:rPr>
          <w:b/>
        </w:rPr>
        <w:t xml:space="preserve">15 (fifteen) days</w:t>
      </w:r>
      <w:r>
        <w:t xml:space="preserve">, counted from EMBRATUR's notification, the </w:t>
      </w:r>
      <w:r>
        <w:rPr>
          <w:b/>
        </w:rPr>
        <w:t xml:space="preserve">contractual non-performance</w:t>
      </w:r>
      <w:r>
        <w:t xml:space="preserve"> by the Contractor will be characterized;</w:t>
      </w:r>
    </w:p>
    <w:p>
      <w:pPr>
        <w:spacing w:before="120" w:after="120" w:line="240" w:lineRule="auto"/>
        <w:ind w:left="120" w:right="120"/>
        <w:jc w:val="both"/>
        <w:rPr>
          <w:rFonts w:ascii="Calibri" w:hAnsi="Calibri" w:cs="Calibri" w:eastAsia="Times New Roman"/>
          <w:color w:val="000000"/>
          <w:sz w:val="27"/>
        </w:rPr>
        <w:pStyle w:val="P68B1DB1-Normal2"/>
      </w:pPr>
      <w:r>
        <w:t xml:space="preserve">Characterized by the contractual non-performance for the reasons expressed in sub-item 7.1.42.4, EMBRATUR may choose to terminate the contract or, exceptionally, settle expenses and make the respective payments directly to specialized suppliers.</w:t>
      </w:r>
    </w:p>
    <w:p>
      <w:pPr>
        <w:spacing w:before="120" w:after="120" w:line="240" w:lineRule="auto"/>
        <w:ind w:left="120" w:right="120"/>
        <w:jc w:val="both"/>
        <w:rPr>
          <w:rFonts w:ascii="Calibri" w:hAnsi="Calibri" w:cs="Calibri" w:eastAsia="Times New Roman"/>
          <w:color w:val="000000"/>
          <w:sz w:val="27"/>
        </w:rPr>
        <w:pStyle w:val="P68B1DB1-Normal2"/>
      </w:pPr>
      <w:r>
        <w:t xml:space="preserve">Be responsible for any financial, procedural and other charges arising from the Contractor's failure to comply with payment terms to specialized suppliers.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shall always seek the lowest price with the best quality for the execution of the object of the contract.</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THE SUBCONTRACTING</w:t>
      </w:r>
    </w:p>
    <w:p>
      <w:pPr>
        <w:spacing w:before="120" w:after="120" w:line="240" w:lineRule="auto"/>
        <w:ind w:left="120" w:right="120"/>
        <w:jc w:val="both"/>
        <w:rPr>
          <w:rFonts w:ascii="Calibri" w:hAnsi="Calibri" w:cs="Calibri" w:eastAsia="Times New Roman"/>
          <w:color w:val="000000"/>
          <w:sz w:val="27"/>
        </w:rPr>
        <w:pStyle w:val="P68B1DB1-Normal2"/>
      </w:pPr>
      <w:r>
        <w:t xml:space="preserve">The subcontracting of specialized suppliers for the provision of Complementary Products and Services, described in </w:t>
      </w:r>
      <w:r>
        <w:rPr>
          <w:b/>
        </w:rPr>
        <w:t xml:space="preserve">Appendix II</w:t>
      </w:r>
      <w:r>
        <w:t xml:space="preserve">, is allowed, and the performance of the CONTRACTOR by order of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In such cases, it is forbidden to hire, directly or indirectly, an employee, partner or manager of the CONTRACTOR, as well as companies in which they have equity interest.</w:t>
      </w:r>
    </w:p>
    <w:p>
      <w:pPr>
        <w:spacing w:before="120" w:after="120" w:line="240" w:lineRule="auto"/>
        <w:ind w:left="120" w:right="120"/>
        <w:jc w:val="both"/>
        <w:rPr>
          <w:rFonts w:ascii="Calibri" w:hAnsi="Calibri" w:cs="Calibri" w:eastAsia="Times New Roman"/>
          <w:color w:val="000000"/>
          <w:sz w:val="27"/>
        </w:rPr>
        <w:pStyle w:val="P68B1DB1-Normal2"/>
      </w:pPr>
      <w:r>
        <w:t xml:space="preserve">In any case of subcontracting, remains the sole responsibility of the CONTRACTOR the perfect contractual implementation, and shall carry out the surveillance and coordination of activities of the subcontractor, as well as to be liable before the CONTRACTING PARTY by strict compliance with contractual obligations related to the subcontracting subject matter.</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shall be responsible for the control and proof of fiscal regularity by the subcontracted company.</w:t>
      </w:r>
    </w:p>
    <w:p>
      <w:pPr>
        <w:spacing w:before="120" w:after="120" w:line="240" w:lineRule="auto"/>
        <w:ind w:left="120" w:right="120"/>
        <w:jc w:val="both"/>
        <w:rPr>
          <w:rFonts w:ascii="Calibri" w:hAnsi="Calibri" w:cs="Calibri" w:eastAsia="Times New Roman"/>
          <w:color w:val="000000"/>
          <w:sz w:val="27"/>
        </w:rPr>
        <w:pStyle w:val="P68B1DB1-Normal2"/>
      </w:pPr>
      <w:r>
        <w:t xml:space="preserve">The subcontracting of specialized suppliers by the CONTRACTOR for the execution of the Essential Products and Services, specified in </w:t>
      </w:r>
      <w:r>
        <w:rPr>
          <w:b/>
        </w:rPr>
        <w:t xml:space="preserve">Appendix I</w:t>
      </w:r>
      <w:r>
        <w:t xml:space="preserve">, shall not be allowed.</w:t>
      </w:r>
    </w:p>
    <w:p>
      <w:pPr>
        <w:spacing w:before="120" w:after="120" w:line="240" w:lineRule="auto"/>
        <w:ind w:left="120" w:right="120"/>
        <w:jc w:val="both"/>
        <w:rPr>
          <w:rFonts w:ascii="Calibri" w:hAnsi="Calibri" w:cs="Calibri" w:eastAsia="Times New Roman"/>
          <w:color w:val="000000"/>
          <w:sz w:val="27"/>
        </w:rPr>
        <w:pStyle w:val="P68B1DB1-Normal2"/>
      </w:pPr>
      <w:r>
        <w:t xml:space="preserve">The prices proposed for the execution of any products and services are the sole responsibility of the Contractor, and it is not responsible for claiming any change, under the allegation of error, omission or any other pretext.</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CONTROL AND INSPECTION OF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quantities of the Essential Products and Services, provided for in </w:t>
      </w:r>
      <w:r>
        <w:rPr>
          <w:b/>
        </w:rPr>
        <w:t xml:space="preserve">item 2</w:t>
      </w:r>
      <w:r>
        <w:t xml:space="preserve"> </w:t>
      </w:r>
      <w:r>
        <w:rPr>
          <w:b/>
        </w:rPr>
        <w:t xml:space="preserve">of Appendix I</w:t>
      </w:r>
      <w:r>
        <w:t xml:space="preserve">, represent only estimates and will be executed to the extent of EMBRATUR's need and convenience, which may readjust them, causing different distribution from that previously established.</w:t>
      </w:r>
    </w:p>
    <w:p>
      <w:pPr>
        <w:spacing w:before="120" w:after="120" w:line="240" w:lineRule="auto"/>
        <w:ind w:left="120" w:right="120"/>
        <w:jc w:val="both"/>
        <w:rPr>
          <w:rFonts w:ascii="Calibri" w:hAnsi="Calibri" w:cs="Calibri" w:eastAsia="Times New Roman"/>
          <w:color w:val="000000"/>
          <w:sz w:val="27"/>
        </w:rPr>
        <w:pStyle w:val="P68B1DB1-Normal2"/>
      </w:pPr>
      <w:r>
        <w:t xml:space="preserve">The quantity referred to in the previous item was expected to be executed during the contractual term of 12 (twelve) months.</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will supervise the execution of the contracted products and services and will verify compliance with the technical specifications, and may reject them, in whole or in part, when they do not correspond to the desired or specified.</w:t>
      </w:r>
    </w:p>
    <w:p>
      <w:pPr>
        <w:spacing w:before="120" w:after="120" w:line="240" w:lineRule="auto"/>
        <w:ind w:left="120" w:right="120"/>
        <w:jc w:val="both"/>
        <w:rPr>
          <w:rFonts w:ascii="Calibri" w:hAnsi="Calibri" w:cs="Calibri" w:eastAsia="Times New Roman"/>
          <w:color w:val="000000"/>
          <w:sz w:val="27"/>
        </w:rPr>
        <w:pStyle w:val="P68B1DB1-Normal2"/>
      </w:pPr>
      <w:r>
        <w:t xml:space="preserve">It will be appointed manager, holder and substitute, and inspectors, to monitor and supervise the execution of the contract to be signed and record in report all occurrences, deficiencies, irregularities or failures that may be observed in the execution of the products and services and will have powers, among others, to notify the Contractor, aiming at its immediate correction.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authorization, by EMBRATUR, of the services performed by the Contractor or by specialized suppliers will not relieve it of its responsibility for the perfect technical execution and proof of the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The absence of a communication by EMBRATUR, referring to the irregularity or failures, does not exempt the Contractor from the responsibilities determined in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will allow and offer conditions for the broadest and most complete inspection, during the term of the contract to be signed, providing information, providing access to the relevant documentation and to the products and services in execution and taking into account the observations and requirements presented by the inspection.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undertakes to allow the internal audit of EMBRATUR and/or external audit indicated by it to have access to documents and materials that relate to the products and services provided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may, at its discretion, evaluate the performance of the CONTRACTOR regarding the planning and execution of the products and services object of the contract to be signed.</w:t>
      </w:r>
    </w:p>
    <w:p>
      <w:pPr>
        <w:spacing w:before="120" w:after="120" w:line="240" w:lineRule="auto"/>
        <w:ind w:left="120" w:right="120"/>
        <w:jc w:val="both"/>
        <w:rPr>
          <w:rFonts w:ascii="Calibri" w:hAnsi="Calibri" w:cs="Calibri" w:eastAsia="Times New Roman"/>
          <w:color w:val="000000"/>
          <w:sz w:val="27"/>
        </w:rPr>
        <w:pStyle w:val="P68B1DB1-Normal2"/>
      </w:pPr>
      <w:r>
        <w:t xml:space="preserve">The evaluation will be considered by EMBRATUR for:</w:t>
      </w:r>
    </w:p>
    <w:p>
      <w:pPr>
        <w:spacing w:before="120" w:after="120" w:line="240" w:lineRule="auto"/>
        <w:ind w:left="1800" w:right="120"/>
        <w:jc w:val="both"/>
        <w:rPr>
          <w:rFonts w:ascii="Calibri" w:hAnsi="Calibri" w:cs="Calibri" w:eastAsia="Times New Roman"/>
          <w:color w:val="000000"/>
          <w:sz w:val="27"/>
        </w:rPr>
        <w:pStyle w:val="P68B1DB1-Normal2"/>
      </w:pPr>
      <w:r>
        <w:t xml:space="preserve">ascertain the need to request, on the part of the Contractor, corrections aimed at providing greater quality of services provided;</w:t>
      </w:r>
    </w:p>
    <w:p>
      <w:pPr>
        <w:spacing w:before="120" w:after="120" w:line="240" w:lineRule="auto"/>
        <w:ind w:left="1800" w:right="120"/>
        <w:jc w:val="both"/>
        <w:rPr>
          <w:rFonts w:ascii="Calibri" w:hAnsi="Calibri" w:cs="Calibri" w:eastAsia="Times New Roman"/>
          <w:color w:val="000000"/>
          <w:sz w:val="27"/>
        </w:rPr>
        <w:pStyle w:val="P68B1DB1-Normal2"/>
      </w:pPr>
      <w:r>
        <w:t xml:space="preserve">decide on extension of term or termination of contract; and</w:t>
      </w:r>
    </w:p>
    <w:p>
      <w:pPr>
        <w:spacing w:before="120" w:after="120" w:line="240" w:lineRule="auto"/>
        <w:ind w:left="1800" w:right="120"/>
        <w:jc w:val="both"/>
        <w:rPr>
          <w:rFonts w:ascii="Calibri" w:hAnsi="Calibri" w:cs="Calibri" w:eastAsia="Times New Roman"/>
          <w:color w:val="000000"/>
          <w:sz w:val="27"/>
        </w:rPr>
        <w:pStyle w:val="P68B1DB1-Normal2"/>
      </w:pPr>
      <w:r>
        <w:t xml:space="preserve">provide, when requested by the CONTRACTOR, statements on its performance to serve as proof of technical qualification.</w:t>
      </w:r>
    </w:p>
    <w:p>
      <w:pPr>
        <w:spacing w:before="120" w:after="120" w:line="240" w:lineRule="auto"/>
        <w:ind w:left="120" w:right="120"/>
        <w:jc w:val="both"/>
        <w:rPr>
          <w:rFonts w:ascii="Calibri" w:hAnsi="Calibri" w:cs="Calibri" w:eastAsia="Times New Roman"/>
          <w:color w:val="000000"/>
          <w:sz w:val="27"/>
        </w:rPr>
        <w:pStyle w:val="P68B1DB1-Normal2"/>
      </w:pPr>
      <w:r>
        <w:t xml:space="preserve">A copy of the performance evaluation instrument will be forwarded to the manager and inspectors of the contract to be signed and will be available to the internal and external control bodies.</w:t>
      </w:r>
    </w:p>
    <w:p>
      <w:pPr>
        <w:spacing w:before="120" w:after="120" w:line="240" w:lineRule="auto"/>
        <w:ind w:left="120" w:right="120"/>
        <w:jc w:val="both"/>
        <w:rPr>
          <w:rFonts w:ascii="Calibri" w:hAnsi="Calibri" w:cs="Calibri" w:eastAsia="Times New Roman"/>
          <w:color w:val="000000"/>
          <w:sz w:val="27"/>
        </w:rPr>
        <w:pStyle w:val="P68B1DB1-Normal2"/>
      </w:pPr>
      <w:r>
        <w:t xml:space="preserve">The monitoring and inspection of the execution of the contract consists of verifying the compliance of the provision of services, materials, techniques and equipment used, in order to ensure the perfect fulfillment of the adjustment, which will be exercised by one or more</w:t>
      </w:r>
    </w:p>
    <w:p>
      <w:pPr>
        <w:spacing w:before="120" w:after="120" w:line="240" w:lineRule="auto"/>
        <w:ind w:left="120" w:right="120"/>
        <w:jc w:val="both"/>
        <w:rPr>
          <w:rFonts w:ascii="Calibri" w:hAnsi="Calibri" w:cs="Calibri" w:eastAsia="Times New Roman"/>
          <w:color w:val="000000"/>
          <w:sz w:val="27"/>
        </w:rPr>
        <w:pStyle w:val="P68B1DB1-Normal2"/>
      </w:pPr>
      <w:r>
        <w:t xml:space="preserve">The verification of the adequacy of the provision of the service shall be based on the criteria set forth in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The supervision of the contract, when verifying that there was undersizing of the agreed productivity, without loss of quality in the execution of the service, must communicate to the responsible authority so that it promotes the contractual adequacy to the productivity actually performed.</w:t>
      </w:r>
    </w:p>
    <w:p>
      <w:pPr>
        <w:spacing w:before="120" w:after="120" w:line="240" w:lineRule="auto"/>
        <w:ind w:left="120" w:right="120"/>
        <w:jc w:val="both"/>
        <w:rPr>
          <w:rFonts w:ascii="Calibri" w:hAnsi="Calibri" w:cs="Calibri" w:eastAsia="Times New Roman"/>
          <w:color w:val="000000"/>
          <w:sz w:val="27"/>
        </w:rPr>
        <w:pStyle w:val="P68B1DB1-Normal2"/>
      </w:pPr>
      <w:r>
        <w:t xml:space="preserve">The representative of the CONTRACTING PARTY shall promote the registration of verified occurrences, adopting the necessary measures for the faithful fulfillment of the contractual clauses.</w:t>
      </w:r>
    </w:p>
    <w:p>
      <w:pPr>
        <w:spacing w:before="120" w:after="120" w:line="240" w:lineRule="auto"/>
        <w:ind w:left="120" w:right="120"/>
        <w:jc w:val="both"/>
        <w:rPr>
          <w:rFonts w:ascii="Calibri" w:hAnsi="Calibri" w:cs="Calibri" w:eastAsia="Times New Roman"/>
          <w:color w:val="000000"/>
          <w:sz w:val="27"/>
        </w:rPr>
        <w:pStyle w:val="P68B1DB1-Normal2"/>
      </w:pPr>
      <w:r>
        <w:t xml:space="preserve">The Inspection referred to in this clause does not exclude or reduce the liability of the CONTRACTOR, including third parties, for any irregularity, even if resulting from technical imperfections, redibitory defects, or use of inappropriate or substandard material and, in the event of such failure, implies co-responsibility of the CONTRACTING PARTY or its agents, in accordance with Art.</w:t>
      </w:r>
    </w:p>
    <w:p>
      <w:pPr>
        <w:spacing w:before="120" w:after="120" w:line="240" w:lineRule="auto"/>
        <w:ind w:left="120" w:right="120"/>
        <w:jc w:val="both"/>
        <w:rPr>
          <w:rFonts w:ascii="Calibri" w:hAnsi="Calibri" w:cs="Calibri" w:eastAsia="Times New Roman"/>
          <w:color w:val="000000"/>
          <w:sz w:val="27"/>
        </w:rPr>
        <w:pStyle w:val="P68B1DB1-Normal2"/>
      </w:pPr>
      <w:r>
        <w:t xml:space="preserve">The supervision by EMBRATUR in no way restricts the sole, integral and exclusive responsibility of the Contractor for the perfect execution of the services and supply of the products.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RECEIPT AND ACCEPTANCE OF THE OBJECT</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will be </w:t>
      </w:r>
      <w:r>
        <w:rPr>
          <w:b/>
        </w:rPr>
        <w:t xml:space="preserve">provisionally received within the period of up to the 5th day of the month following </w:t>
      </w:r>
      <w:r>
        <w:t xml:space="preserve">the provision of services, by the supervisor or contract manager, for the purpose of subsequent verification of their compliance with the specifications contained in this Basic Project, in the Service Request and in the Service Proposal.  CONTRACTOR PARTY shall send an execution report, for analysis of the supervision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may be rejected, in whole or in part, when in disagreement with the specifications contained in this Basic Project and in the Service Order, and the Contractor shall, within two (2) days from the notification, at its expense, without prejudice to the application of penalties, make the adjustments requested by the inspection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will be </w:t>
      </w:r>
      <w:r>
        <w:rPr>
          <w:b/>
        </w:rPr>
        <w:t xml:space="preserve">received definitively until the 20th day of the month following</w:t>
      </w:r>
      <w:r>
        <w:t xml:space="preserve"> the provision of the services, after verification of the quality and quantity of the material and consequent acceptance by means of a Definitive Receipt Term.</w:t>
      </w:r>
    </w:p>
    <w:p>
      <w:pPr>
        <w:spacing w:before="120" w:after="120" w:line="240" w:lineRule="auto"/>
        <w:ind w:left="120" w:right="120"/>
        <w:jc w:val="both"/>
        <w:rPr>
          <w:rFonts w:ascii="Calibri" w:hAnsi="Calibri" w:cs="Calibri" w:eastAsia="Times New Roman"/>
          <w:color w:val="000000"/>
          <w:sz w:val="27"/>
        </w:rPr>
        <w:pStyle w:val="P68B1DB1-Normal2"/>
      </w:pPr>
      <w:r>
        <w:t xml:space="preserve">After the inspection of the services provided, the manager will indicate to the Contracting Party that the services are in accordance with the specifications of the Basic Project and that the issuance of the Invoice is authorized.</w:t>
      </w:r>
    </w:p>
    <w:p>
      <w:pPr>
        <w:spacing w:before="120" w:after="120" w:line="240" w:lineRule="auto"/>
        <w:ind w:left="120" w:right="120"/>
        <w:jc w:val="both"/>
        <w:rPr>
          <w:rFonts w:ascii="Calibri" w:hAnsi="Calibri" w:cs="Calibri" w:eastAsia="Times New Roman"/>
          <w:color w:val="000000"/>
          <w:sz w:val="27"/>
        </w:rPr>
        <w:pStyle w:val="P68B1DB1-Normal2"/>
      </w:pPr>
      <w:r>
        <w:t xml:space="preserve">The indication of compliance with the execution of the object does not exclude the Contractor's liability for damages resulting from the incorrect execution of the contract, or, at any time, the guarantees granted and the responsibilities assumed in the contract and under the legal provisions in force.</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PAYMENT</w:t>
      </w:r>
    </w:p>
    <w:p>
      <w:pPr>
        <w:spacing w:before="120" w:after="120" w:line="240" w:lineRule="auto"/>
        <w:ind w:left="120" w:right="120"/>
        <w:jc w:val="both"/>
        <w:rPr>
          <w:rFonts w:ascii="Calibri" w:hAnsi="Calibri" w:cs="Calibri" w:eastAsia="Times New Roman"/>
          <w:color w:val="000000"/>
          <w:sz w:val="27"/>
        </w:rPr>
        <w:pStyle w:val="P68B1DB1-Normal2"/>
      </w:pPr>
      <w:r>
        <w:t xml:space="preserve">Payments to the CONTRACTOR shall be made for the amounts resulting from:</w:t>
      </w:r>
    </w:p>
    <w:p>
      <w:pPr>
        <w:spacing w:before="120" w:after="120" w:line="240" w:lineRule="auto"/>
        <w:ind w:left="1800" w:right="120"/>
        <w:jc w:val="both"/>
        <w:rPr>
          <w:rFonts w:ascii="Calibri" w:hAnsi="Calibri" w:cs="Calibri" w:eastAsia="Times New Roman"/>
          <w:color w:val="000000"/>
          <w:sz w:val="27"/>
        </w:rPr>
        <w:pStyle w:val="P68B1DB1-Normal2"/>
      </w:pPr>
      <w:r>
        <w:t xml:space="preserve">effectively performed provision of Services and delivery of Essential Products;</w:t>
      </w:r>
    </w:p>
    <w:p>
      <w:pPr>
        <w:spacing w:before="120" w:after="120" w:line="240" w:lineRule="auto"/>
        <w:ind w:left="1800" w:right="120"/>
        <w:jc w:val="both"/>
        <w:rPr>
          <w:rFonts w:ascii="Calibri" w:hAnsi="Calibri" w:cs="Calibri" w:eastAsia="Times New Roman"/>
          <w:color w:val="000000"/>
          <w:sz w:val="27"/>
        </w:rPr>
        <w:pStyle w:val="P68B1DB1-Normal2"/>
      </w:pPr>
      <w:r>
        <w:t xml:space="preserve">contracting of Complementary Products and Services;</w:t>
      </w:r>
    </w:p>
    <w:p>
      <w:pPr>
        <w:spacing w:before="120" w:after="120" w:line="240" w:lineRule="auto"/>
        <w:ind w:left="1800" w:right="120"/>
        <w:jc w:val="both"/>
        <w:rPr>
          <w:rFonts w:ascii="Calibri" w:hAnsi="Calibri" w:cs="Calibri" w:eastAsia="Times New Roman"/>
          <w:color w:val="000000"/>
          <w:sz w:val="27"/>
        </w:rPr>
        <w:pStyle w:val="P68B1DB1-Normal2"/>
      </w:pPr>
      <w:r>
        <w:t xml:space="preserve">fees levied on the prices of Complementary Products and Services;</w:t>
      </w:r>
    </w:p>
    <w:p>
      <w:pPr>
        <w:spacing w:before="120" w:after="120" w:line="240" w:lineRule="auto"/>
        <w:ind w:left="1800" w:right="120"/>
        <w:jc w:val="both"/>
        <w:rPr>
          <w:rFonts w:ascii="Calibri" w:hAnsi="Calibri" w:cs="Calibri" w:eastAsia="Times New Roman"/>
          <w:color w:val="000000"/>
          <w:sz w:val="27"/>
        </w:rPr>
        <w:pStyle w:val="P68B1DB1-Normal2"/>
      </w:pPr>
      <w:r>
        <w:t xml:space="preserve">reimbursement of travel expenses of professionals on duty, as provided in item 5.13.2.</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payment of the </w:t>
      </w:r>
      <w:r>
        <w:rPr>
          <w:b/>
        </w:rPr>
        <w:t xml:space="preserve">Essential Products and Services</w:t>
      </w:r>
      <w:r>
        <w:t xml:space="preserve">, the prices of the spreadsheet contained in </w:t>
      </w:r>
      <w:r>
        <w:rPr>
          <w:b/>
        </w:rPr>
        <w:t xml:space="preserve">item 2 of Appendix Iwill</w:t>
      </w:r>
      <w:r>
        <w:t xml:space="preserve"> be charged, on a linear basis, the discount contained in the lowest price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case of the execution of an item </w:t>
      </w:r>
      <w:r>
        <w:rPr>
          <w:b/>
        </w:rPr>
        <w:t xml:space="preserve">not provided for </w:t>
      </w:r>
      <w:r>
        <w:t xml:space="preserve">in the catalog of Essential Products and Services, contained in </w:t>
      </w:r>
      <w:r>
        <w:rPr>
          <w:b/>
        </w:rPr>
        <w:t xml:space="preserve">Appendix I</w:t>
      </w:r>
      <w:r>
        <w:t xml:space="preserve">, the Contractor shall submit to EMBRATUR a justification accompanied by the cost estimate and technical specifications, with the description of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Title;</w:t>
      </w:r>
    </w:p>
    <w:p>
      <w:pPr>
        <w:spacing w:before="120" w:after="120" w:line="240" w:lineRule="auto"/>
        <w:ind w:left="1800" w:right="120"/>
        <w:jc w:val="both"/>
        <w:rPr>
          <w:rFonts w:ascii="Calibri" w:hAnsi="Calibri" w:cs="Calibri" w:eastAsia="Times New Roman"/>
          <w:color w:val="000000"/>
          <w:sz w:val="27"/>
        </w:rPr>
        <w:pStyle w:val="P68B1DB1-Normal2"/>
      </w:pPr>
      <w:r>
        <w:t>Description;</w:t>
      </w:r>
    </w:p>
    <w:p>
      <w:pPr>
        <w:spacing w:before="120" w:after="120" w:line="240" w:lineRule="auto"/>
        <w:ind w:left="1800" w:right="120"/>
        <w:jc w:val="both"/>
        <w:rPr>
          <w:rFonts w:ascii="Calibri" w:hAnsi="Calibri" w:cs="Calibri" w:eastAsia="Times New Roman"/>
          <w:color w:val="000000"/>
          <w:sz w:val="27"/>
        </w:rPr>
        <w:pStyle w:val="P68B1DB1-Normal2"/>
      </w:pPr>
      <w:r>
        <w:t>Deliveries;</w:t>
      </w:r>
    </w:p>
    <w:p>
      <w:pPr>
        <w:spacing w:before="120" w:after="120" w:line="240" w:lineRule="auto"/>
        <w:ind w:left="1800" w:right="120"/>
        <w:jc w:val="both"/>
        <w:rPr>
          <w:rFonts w:ascii="Calibri" w:hAnsi="Calibri" w:cs="Calibri" w:eastAsia="Times New Roman"/>
          <w:color w:val="000000"/>
          <w:sz w:val="27"/>
        </w:rPr>
        <w:pStyle w:val="P68B1DB1-Normal2"/>
      </w:pPr>
      <w:r>
        <w:t xml:space="preserve">Aspects to be considered in the assessment of the activity;</w:t>
      </w:r>
    </w:p>
    <w:p>
      <w:pPr>
        <w:spacing w:before="120" w:after="120" w:line="240" w:lineRule="auto"/>
        <w:ind w:left="1800" w:right="120"/>
        <w:jc w:val="both"/>
        <w:rPr>
          <w:rFonts w:ascii="Calibri" w:hAnsi="Calibri" w:cs="Calibri" w:eastAsia="Times New Roman"/>
          <w:color w:val="000000"/>
          <w:sz w:val="27"/>
        </w:rPr>
        <w:pStyle w:val="P68B1DB1-Normal2"/>
      </w:pPr>
      <w:r>
        <w:t xml:space="preserve">Characteristics considered in the complexity classification;</w:t>
      </w:r>
    </w:p>
    <w:p>
      <w:pPr>
        <w:spacing w:before="120" w:after="120" w:line="240" w:lineRule="auto"/>
        <w:ind w:left="1800" w:right="120"/>
        <w:jc w:val="both"/>
        <w:rPr>
          <w:rFonts w:ascii="Calibri" w:hAnsi="Calibri" w:cs="Calibri" w:eastAsia="Times New Roman"/>
          <w:color w:val="000000"/>
          <w:sz w:val="27"/>
        </w:rPr>
        <w:pStyle w:val="P68B1DB1-Normal2"/>
      </w:pPr>
      <w:r>
        <w:t xml:space="preserve">Complexity;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20" w:right="120"/>
        <w:jc w:val="both"/>
        <w:rPr>
          <w:rFonts w:ascii="Calibri" w:hAnsi="Calibri" w:cs="Calibri" w:eastAsia="Times New Roman"/>
          <w:color w:val="000000"/>
          <w:sz w:val="27"/>
        </w:rPr>
        <w:pStyle w:val="P68B1DB1-Normal2"/>
      </w:pPr>
      <w:r>
        <w:t xml:space="preserve">The estimated costs of an item not provided for in the Essential Products and Services catalog must be accompanied by 2 (two) more market budgets, in addition to the Contractor's budget.</w:t>
      </w:r>
    </w:p>
    <w:p>
      <w:pPr>
        <w:spacing w:before="120" w:after="120" w:line="240" w:lineRule="auto"/>
        <w:ind w:left="120" w:right="120"/>
        <w:jc w:val="both"/>
        <w:rPr>
          <w:rFonts w:ascii="Calibri" w:hAnsi="Calibri" w:cs="Calibri" w:eastAsia="Times New Roman"/>
          <w:color w:val="000000"/>
          <w:sz w:val="27"/>
        </w:rPr>
        <w:pStyle w:val="P68B1DB1-Normal2"/>
      </w:pPr>
      <w:r>
        <w:t xml:space="preserve">The budgets shall contain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 xml:space="preserve">business name;</w:t>
      </w:r>
    </w:p>
    <w:p>
      <w:pPr>
        <w:spacing w:before="120" w:after="120" w:line="240" w:lineRule="auto"/>
        <w:ind w:left="1800" w:right="120"/>
        <w:jc w:val="both"/>
        <w:rPr>
          <w:rFonts w:ascii="Calibri" w:hAnsi="Calibri" w:cs="Calibri" w:eastAsia="Times New Roman"/>
          <w:color w:val="000000"/>
          <w:sz w:val="27"/>
        </w:rPr>
        <w:pStyle w:val="P68B1DB1-Normal2"/>
      </w:pPr>
      <w:r>
        <w:t xml:space="preserve">company tax payer registration</w:t>
      </w:r>
    </w:p>
    <w:p>
      <w:pPr>
        <w:spacing w:before="120" w:after="120" w:line="240" w:lineRule="auto"/>
        <w:ind w:left="1800" w:right="120"/>
        <w:jc w:val="both"/>
        <w:rPr>
          <w:rFonts w:ascii="Calibri" w:hAnsi="Calibri" w:cs="Calibri" w:eastAsia="Times New Roman"/>
          <w:color w:val="000000"/>
          <w:sz w:val="27"/>
        </w:rPr>
        <w:pStyle w:val="P68B1DB1-Normal2"/>
      </w:pPr>
      <w:r>
        <w:t xml:space="preserve">full address;</w:t>
      </w:r>
    </w:p>
    <w:p>
      <w:pPr>
        <w:spacing w:before="120" w:after="120" w:line="240" w:lineRule="auto"/>
        <w:ind w:left="1800" w:right="120"/>
        <w:jc w:val="both"/>
        <w:rPr>
          <w:rFonts w:ascii="Calibri" w:hAnsi="Calibri" w:cs="Calibri" w:eastAsia="Times New Roman"/>
          <w:color w:val="000000"/>
          <w:sz w:val="27"/>
        </w:rPr>
        <w:pStyle w:val="P68B1DB1-Normal2"/>
      </w:pPr>
      <w:r>
        <w:t xml:space="preserve">telephone number and email for contact;</w:t>
      </w:r>
    </w:p>
    <w:p>
      <w:pPr>
        <w:spacing w:before="120" w:after="120" w:line="240" w:lineRule="auto"/>
        <w:ind w:left="1800" w:right="120"/>
        <w:jc w:val="both"/>
        <w:rPr>
          <w:rFonts w:ascii="Calibri" w:hAnsi="Calibri" w:cs="Calibri" w:eastAsia="Times New Roman"/>
          <w:color w:val="000000"/>
          <w:sz w:val="27"/>
        </w:rPr>
        <w:pStyle w:val="P68B1DB1-Normal2"/>
      </w:pPr>
      <w:r>
        <w:t xml:space="preserve">detailed description of the quoted product or service;</w:t>
      </w:r>
    </w:p>
    <w:p>
      <w:pPr>
        <w:spacing w:before="120" w:after="120" w:line="240" w:lineRule="auto"/>
        <w:ind w:left="1800" w:right="120"/>
        <w:jc w:val="both"/>
        <w:rPr>
          <w:rFonts w:ascii="Calibri" w:hAnsi="Calibri" w:cs="Calibri" w:eastAsia="Times New Roman"/>
          <w:color w:val="000000"/>
          <w:sz w:val="27"/>
        </w:rPr>
        <w:pStyle w:val="P68B1DB1-Normal2"/>
      </w:pPr>
      <w:r>
        <w:t xml:space="preserve">quantity, unit price and total price</w:t>
      </w:r>
    </w:p>
    <w:p>
      <w:pPr>
        <w:spacing w:before="120" w:after="120" w:line="240" w:lineRule="auto"/>
        <w:ind w:left="1800" w:right="120"/>
        <w:jc w:val="both"/>
        <w:rPr>
          <w:rFonts w:ascii="Calibri" w:hAnsi="Calibri" w:cs="Calibri" w:eastAsia="Times New Roman"/>
          <w:color w:val="000000"/>
          <w:sz w:val="27"/>
        </w:rPr>
        <w:pStyle w:val="P68B1DB1-Normal2"/>
      </w:pPr>
      <w:r>
        <w:t xml:space="preserve">place and date of Issue</w:t>
      </w:r>
    </w:p>
    <w:p>
      <w:pPr>
        <w:spacing w:before="120" w:after="120" w:line="240" w:lineRule="auto"/>
        <w:ind w:left="1800" w:right="120"/>
        <w:jc w:val="both"/>
        <w:rPr>
          <w:rFonts w:ascii="Calibri" w:hAnsi="Calibri" w:cs="Calibri" w:eastAsia="Times New Roman"/>
          <w:color w:val="000000"/>
          <w:sz w:val="27"/>
        </w:rPr>
        <w:pStyle w:val="P68B1DB1-Normal2"/>
      </w:pPr>
      <w:r>
        <w:t xml:space="preserve">name in full, RG, CPF, position and function of the person responsible for the quotation.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budgets must be original and signed by the respective persons responsible for the quotations, and proposals sent by electronic means may be accepted, provided they are issued from the institutional addresses of the companies.</w:t>
      </w:r>
    </w:p>
    <w:p>
      <w:pPr>
        <w:spacing w:before="120" w:after="120" w:line="240" w:lineRule="auto"/>
        <w:ind w:left="120" w:right="120"/>
        <w:jc w:val="both"/>
        <w:rPr>
          <w:rFonts w:ascii="Calibri" w:hAnsi="Calibri" w:cs="Calibri" w:eastAsia="Times New Roman"/>
          <w:color w:val="000000"/>
          <w:sz w:val="27"/>
        </w:rPr>
        <w:pStyle w:val="P68B1DB1-Normal2"/>
      </w:pPr>
      <w:r>
        <w:t xml:space="preserve">If there is no possibility of presenting another 2 (two) budgets, the Contractor shall justify the fact, in writing, for EMBRATUR's appreciation, before making the expense.</w:t>
      </w:r>
    </w:p>
    <w:p>
      <w:pPr>
        <w:spacing w:before="120" w:after="120" w:line="240" w:lineRule="auto"/>
        <w:ind w:left="120" w:right="120"/>
        <w:jc w:val="both"/>
        <w:rPr>
          <w:rFonts w:ascii="Calibri" w:hAnsi="Calibri" w:cs="Calibri" w:eastAsia="Times New Roman"/>
          <w:color w:val="000000"/>
          <w:sz w:val="27"/>
        </w:rPr>
        <w:pStyle w:val="P68B1DB1-Normal2"/>
      </w:pPr>
      <w:r>
        <w:t xml:space="preserve">Based on the technical specification presented, the proposal will be evaluated by EMBRATUR, which, for the approval of the budget, may verify, at any time and at its discretion, the adequacy of the Contractor's prices, in relation to those of the market.</w:t>
      </w:r>
    </w:p>
    <w:p>
      <w:pPr>
        <w:spacing w:before="120" w:after="120" w:line="240" w:lineRule="auto"/>
        <w:ind w:left="120" w:right="120"/>
        <w:jc w:val="both"/>
        <w:rPr>
          <w:rFonts w:ascii="Calibri" w:hAnsi="Calibri" w:cs="Calibri" w:eastAsia="Times New Roman"/>
          <w:color w:val="000000"/>
          <w:sz w:val="27"/>
        </w:rPr>
        <w:pStyle w:val="P68B1DB1-Normal2"/>
      </w:pPr>
      <w:r>
        <w:t xml:space="preserve">To support the analysis of the budgets presented by the Contractor, EMBRATUR may seek the references of the prices charged by the Public Administration in relation to the </w:t>
      </w:r>
      <w:r>
        <w:rPr>
          <w:b/>
        </w:rPr>
        <w:t xml:space="preserve">Essential Products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For payment of </w:t>
      </w:r>
      <w:r>
        <w:rPr>
          <w:b/>
        </w:rPr>
        <w:t xml:space="preserve">Complementary Products and Services</w:t>
      </w:r>
      <w:r>
        <w:t xml:space="preserve">, the percentage of fees contained in the proposal presented, whose categories are listed in </w:t>
      </w:r>
      <w:r>
        <w:rPr>
          <w:b/>
        </w:rPr>
        <w:t xml:space="preserve">Appendix II </w:t>
      </w:r>
      <w:r>
        <w:t xml:space="preserve">of the Basic Project of this contracting procedure will be practiced.</w:t>
      </w:r>
    </w:p>
    <w:p>
      <w:pPr>
        <w:spacing w:before="120" w:after="120" w:line="240" w:lineRule="auto"/>
        <w:ind w:left="120" w:right="120"/>
        <w:jc w:val="both"/>
        <w:rPr>
          <w:rFonts w:ascii="Calibri" w:hAnsi="Calibri" w:cs="Calibri" w:eastAsia="Times New Roman"/>
          <w:color w:val="000000"/>
          <w:sz w:val="27"/>
        </w:rPr>
        <w:pStyle w:val="P68B1DB1-Normal6"/>
      </w:pPr>
      <w:r>
        <w:rPr>
          <w:color w:val="000000"/>
        </w:rPr>
        <w:t xml:space="preserve">The payment of the Invoices will be in reais (R$), and the conversion will be made on the date of issue. For the conversion of the amounts in foreign currencies to real (R$), the quotation informed by the Central Bank must be used, on the website: </w:t>
      </w:r>
      <w:hyperlink r:id="rId5" w:tgtFrame="_blank" w:history="1">
        <w:r>
          <w:rPr>
            <w:color w:val="0000FF"/>
            <w:u w:val="single"/>
          </w:rPr>
          <w:t xml:space="preserve">Central Bank Conversion Portal</w:t>
        </w:r>
      </w:hyperlink>
      <w:r>
        <w:rPr>
          <w:color w:val="000000"/>
        </w:rPr>
        <w:t xml:space="preserve"> - https://www.bcb.gov.br/conversao</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case of the execution of an item </w:t>
      </w:r>
      <w:r>
        <w:rPr>
          <w:b/>
        </w:rPr>
        <w:t xml:space="preserve">not provided for </w:t>
      </w:r>
      <w:r>
        <w:t xml:space="preserve">in the catalog of </w:t>
      </w:r>
      <w:r>
        <w:rPr>
          <w:b/>
        </w:rPr>
        <w:t xml:space="preserve">Essential Products and Services</w:t>
      </w:r>
      <w:r>
        <w:t xml:space="preserve">, contained in </w:t>
      </w:r>
      <w:r>
        <w:rPr>
          <w:b/>
        </w:rPr>
        <w:t>Appendix</w:t>
      </w:r>
      <w:r>
        <w:t xml:space="preserve"> I, the Contractor shall submit to EMBRATUR a justification accompanied by the cost estimate and technical specifications, with the description of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Title;</w:t>
      </w:r>
    </w:p>
    <w:p>
      <w:pPr>
        <w:spacing w:before="120" w:after="120" w:line="240" w:lineRule="auto"/>
        <w:ind w:left="1800" w:right="120"/>
        <w:jc w:val="both"/>
        <w:rPr>
          <w:rFonts w:ascii="Calibri" w:hAnsi="Calibri" w:cs="Calibri" w:eastAsia="Times New Roman"/>
          <w:color w:val="000000"/>
          <w:sz w:val="27"/>
        </w:rPr>
        <w:pStyle w:val="P68B1DB1-Normal2"/>
      </w:pPr>
      <w:r>
        <w:t>Description;</w:t>
      </w:r>
    </w:p>
    <w:p>
      <w:pPr>
        <w:spacing w:before="120" w:after="120" w:line="240" w:lineRule="auto"/>
        <w:ind w:left="1800" w:right="120"/>
        <w:jc w:val="both"/>
        <w:rPr>
          <w:rFonts w:ascii="Calibri" w:hAnsi="Calibri" w:cs="Calibri" w:eastAsia="Times New Roman"/>
          <w:color w:val="000000"/>
          <w:sz w:val="27"/>
        </w:rPr>
        <w:pStyle w:val="P68B1DB1-Normal2"/>
      </w:pPr>
      <w:r>
        <w:t>Deliveries;</w:t>
      </w:r>
    </w:p>
    <w:p>
      <w:pPr>
        <w:spacing w:before="120" w:after="120" w:line="240" w:lineRule="auto"/>
        <w:ind w:left="1800" w:right="120"/>
        <w:jc w:val="both"/>
        <w:rPr>
          <w:rFonts w:ascii="Calibri" w:hAnsi="Calibri" w:cs="Calibri" w:eastAsia="Times New Roman"/>
          <w:color w:val="000000"/>
          <w:sz w:val="27"/>
        </w:rPr>
        <w:pStyle w:val="P68B1DB1-Normal2"/>
      </w:pPr>
      <w:r>
        <w:t xml:space="preserve">Aspects to be considered in the assessment of the activity;</w:t>
      </w:r>
    </w:p>
    <w:p>
      <w:pPr>
        <w:spacing w:before="120" w:after="120" w:line="240" w:lineRule="auto"/>
        <w:ind w:left="1800" w:right="120"/>
        <w:jc w:val="both"/>
        <w:rPr>
          <w:rFonts w:ascii="Calibri" w:hAnsi="Calibri" w:cs="Calibri" w:eastAsia="Times New Roman"/>
          <w:color w:val="000000"/>
          <w:sz w:val="27"/>
        </w:rPr>
        <w:pStyle w:val="P68B1DB1-Normal2"/>
      </w:pPr>
      <w:r>
        <w:t xml:space="preserve">Characteristics considered in the complexity classification;</w:t>
      </w:r>
    </w:p>
    <w:p>
      <w:pPr>
        <w:spacing w:before="120" w:after="120" w:line="240" w:lineRule="auto"/>
        <w:ind w:left="1800" w:right="120"/>
        <w:jc w:val="both"/>
        <w:rPr>
          <w:rFonts w:ascii="Calibri" w:hAnsi="Calibri" w:cs="Calibri" w:eastAsia="Times New Roman"/>
          <w:color w:val="000000"/>
          <w:sz w:val="27"/>
        </w:rPr>
        <w:pStyle w:val="P68B1DB1-Normal2"/>
      </w:pPr>
      <w:r>
        <w:t xml:space="preserve">Complexity;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20" w:right="120"/>
        <w:jc w:val="both"/>
        <w:rPr>
          <w:rFonts w:ascii="Calibri" w:hAnsi="Calibri" w:cs="Calibri" w:eastAsia="Times New Roman"/>
          <w:color w:val="000000"/>
          <w:sz w:val="27"/>
        </w:rPr>
        <w:pStyle w:val="P68B1DB1-Normal2"/>
      </w:pPr>
      <w:r>
        <w:t xml:space="preserve">For payment of the </w:t>
      </w:r>
      <w:r>
        <w:rPr>
          <w:b/>
        </w:rPr>
        <w:t xml:space="preserve">Complementary Products and Services</w:t>
      </w:r>
      <w:r>
        <w:t xml:space="preserve">, the Contractor shall submit to EMBRATUR a justification accompanied by the technical specifications and the cost estimate, for its approval.</w:t>
      </w:r>
    </w:p>
    <w:p>
      <w:pPr>
        <w:spacing w:before="120" w:after="120" w:line="240" w:lineRule="auto"/>
        <w:ind w:left="120" w:right="120"/>
        <w:jc w:val="both"/>
        <w:rPr>
          <w:rFonts w:ascii="Calibri" w:hAnsi="Calibri" w:cs="Calibri" w:eastAsia="Times New Roman"/>
          <w:color w:val="000000"/>
          <w:sz w:val="27"/>
        </w:rPr>
        <w:pStyle w:val="P68B1DB1-Normal2"/>
      </w:pPr>
      <w:r>
        <w:t xml:space="preserve">The cost estimate of the Complementary Products and Services must be accompanied by 3 (three) market budgets, for approval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The budgets must contain the information contained </w:t>
      </w:r>
      <w:r>
        <w:rPr>
          <w:b/>
        </w:rPr>
        <w:t xml:space="preserve">in item 11.2.3</w:t>
      </w:r>
      <w:r>
        <w:t xml:space="preserve">, as well as follow the prescriptions contained in </w:t>
      </w:r>
      <w:r>
        <w:rPr>
          <w:b/>
        </w:rPr>
        <w:t xml:space="preserve">item 11.3</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If there is no possibility of presenting another 2 (two) budgets, the Contractor shall justify the fact, in writing, for EMBRATUR's appreciation, before making the expense.</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approval of the costs, EMBRATUR may consult with the market to verify the budgets presented.</w:t>
      </w:r>
    </w:p>
    <w:p>
      <w:pPr>
        <w:spacing w:before="120" w:after="120" w:line="240" w:lineRule="auto"/>
        <w:ind w:left="120" w:right="120"/>
        <w:jc w:val="both"/>
        <w:rPr>
          <w:rFonts w:ascii="Calibri" w:hAnsi="Calibri" w:cs="Calibri" w:eastAsia="Times New Roman"/>
          <w:color w:val="000000"/>
          <w:sz w:val="27"/>
        </w:rPr>
        <w:pStyle w:val="P68B1DB1-Normal2"/>
      </w:pPr>
      <w:r>
        <w:t xml:space="preserve">To support the analysis of the budgets presented by the Contractor, EMBRATUR may seek the references of the prices charged by the Public Administration in relation to the Essential Products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In order to pay the </w:t>
      </w:r>
      <w:r>
        <w:rPr>
          <w:b/>
        </w:rPr>
        <w:t xml:space="preserve">fees levied on the prices of the Complementary Products and Services</w:t>
      </w:r>
      <w:r>
        <w:t xml:space="preserve">, </w:t>
      </w:r>
      <w:bookmarkStart w:id="2" w:name="_Hlk52136948"/>
      <w:r>
        <w:t xml:space="preserve">the Contractor will receive fees only on the prices of the products supplied and/or the services provided through specialized suppliers with their intermediation and supervision, not being applicable to any other point of the contract.</w:t>
      </w:r>
      <w:bookmarkEnd w:id="2"/>
    </w:p>
    <w:p>
      <w:pPr>
        <w:spacing w:before="120" w:after="120" w:line="240" w:lineRule="auto"/>
        <w:ind w:left="120" w:right="120"/>
        <w:jc w:val="both"/>
        <w:rPr>
          <w:rFonts w:ascii="Calibri" w:hAnsi="Calibri" w:cs="Calibri" w:eastAsia="Times New Roman"/>
          <w:color w:val="000000"/>
          <w:sz w:val="27"/>
        </w:rPr>
        <w:pStyle w:val="P68B1DB1-Normal2"/>
      </w:pPr>
      <w:r>
        <w:t xml:space="preserve">For the payment of fees, EMBRATUR will consider the percentage contained in the winning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The fees referred to in the previous sub-item shall be calculated on the price actually billed, and no amount related to taxes whose collection is the responsibility of the Contractor may be added to it.</w:t>
      </w:r>
    </w:p>
    <w:p>
      <w:pPr>
        <w:spacing w:before="120" w:after="120" w:line="240" w:lineRule="auto"/>
        <w:ind w:left="120" w:right="120"/>
        <w:jc w:val="both"/>
        <w:rPr>
          <w:rFonts w:ascii="Calibri" w:hAnsi="Calibri" w:cs="Calibri" w:eastAsia="Times New Roman"/>
          <w:color w:val="000000"/>
          <w:sz w:val="27"/>
        </w:rPr>
        <w:pStyle w:val="P68B1DB1-Normal2"/>
      </w:pPr>
      <w:r>
        <w:t xml:space="preserve">The reimbursement of travel expenses of professionals on duty during the contractual execution will be made from an accountability presented by the contractor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The travel of professionals on duty must be provided for in a Service Order previously approved by the manager or inspector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For authorization of displacements, the Service Order must contain the following information:</w:t>
      </w:r>
    </w:p>
    <w:p>
      <w:pPr>
        <w:spacing w:before="120" w:after="120" w:line="240" w:lineRule="auto"/>
        <w:ind w:left="1800" w:right="120"/>
        <w:jc w:val="both"/>
        <w:rPr>
          <w:rFonts w:ascii="Calibri" w:hAnsi="Calibri" w:cs="Calibri" w:eastAsia="Times New Roman"/>
          <w:color w:val="000000"/>
          <w:sz w:val="27"/>
        </w:rPr>
        <w:pStyle w:val="P68B1DB1-Normal2"/>
      </w:pPr>
      <w:r>
        <w:t xml:space="preserve">employee name;</w:t>
      </w:r>
    </w:p>
    <w:p>
      <w:pPr>
        <w:spacing w:before="120" w:after="120" w:line="240" w:lineRule="auto"/>
        <w:ind w:left="1800" w:right="120"/>
        <w:jc w:val="both"/>
        <w:rPr>
          <w:rFonts w:ascii="Calibri" w:hAnsi="Calibri" w:cs="Calibri" w:eastAsia="Times New Roman"/>
          <w:color w:val="000000"/>
          <w:sz w:val="27"/>
        </w:rPr>
        <w:pStyle w:val="P68B1DB1-Normal2"/>
      </w:pPr>
      <w:r>
        <w:t xml:space="preserve">purpose of the trip;</w:t>
      </w:r>
    </w:p>
    <w:p>
      <w:pPr>
        <w:spacing w:before="120" w:after="120" w:line="240" w:lineRule="auto"/>
        <w:ind w:left="1800" w:right="120"/>
        <w:jc w:val="both"/>
        <w:rPr>
          <w:rFonts w:ascii="Calibri" w:hAnsi="Calibri" w:cs="Calibri" w:eastAsia="Times New Roman"/>
          <w:color w:val="000000"/>
          <w:sz w:val="27"/>
        </w:rPr>
        <w:pStyle w:val="P68B1DB1-Normal2"/>
      </w:pPr>
      <w:r>
        <w:t xml:space="preserve">starting and ending dates of the trip;</w:t>
      </w:r>
    </w:p>
    <w:p>
      <w:pPr>
        <w:spacing w:before="120" w:after="120" w:line="240" w:lineRule="auto"/>
        <w:ind w:left="1800" w:right="120"/>
        <w:jc w:val="both"/>
        <w:rPr>
          <w:rFonts w:ascii="Calibri" w:hAnsi="Calibri" w:cs="Calibri" w:eastAsia="Times New Roman"/>
          <w:color w:val="000000"/>
          <w:sz w:val="27"/>
        </w:rPr>
        <w:pStyle w:val="P68B1DB1-Normal2"/>
      </w:pPr>
      <w:r>
        <w:t xml:space="preserve">estimated ticket price; </w:t>
      </w:r>
    </w:p>
    <w:p>
      <w:pPr>
        <w:spacing w:before="120" w:after="120" w:line="240" w:lineRule="auto"/>
        <w:ind w:left="1800" w:right="120"/>
        <w:jc w:val="both"/>
        <w:rPr>
          <w:rFonts w:ascii="Calibri" w:hAnsi="Calibri" w:cs="Calibri" w:eastAsia="Times New Roman"/>
          <w:color w:val="000000"/>
          <w:sz w:val="27"/>
        </w:rPr>
        <w:pStyle w:val="P68B1DB1-Normal2"/>
      </w:pPr>
      <w:r>
        <w:t xml:space="preserve">prediction of the number of daily rates; and</w:t>
      </w:r>
    </w:p>
    <w:p>
      <w:pPr>
        <w:spacing w:before="120" w:after="120" w:line="240" w:lineRule="auto"/>
        <w:ind w:left="120" w:right="120"/>
        <w:jc w:val="both"/>
        <w:rPr>
          <w:rFonts w:ascii="Calibri" w:hAnsi="Calibri" w:cs="Calibri" w:eastAsia="Times New Roman"/>
          <w:color w:val="000000"/>
          <w:sz w:val="27"/>
        </w:rPr>
        <w:pStyle w:val="P68B1DB1-Normal2"/>
      </w:pPr>
      <w:r>
        <w:t xml:space="preserve">For airline tickets, the use of economy class is defined for any professional in national or international sections.</w:t>
      </w:r>
    </w:p>
    <w:p>
      <w:pPr>
        <w:spacing w:before="120" w:after="120" w:line="240" w:lineRule="auto"/>
        <w:ind w:left="120" w:right="120"/>
        <w:jc w:val="both"/>
        <w:rPr>
          <w:rFonts w:ascii="Calibri" w:hAnsi="Calibri" w:cs="Calibri" w:eastAsia="Times New Roman"/>
          <w:color w:val="000000"/>
          <w:sz w:val="27"/>
        </w:rPr>
        <w:pStyle w:val="P68B1DB1-Normal2"/>
      </w:pPr>
      <w:r>
        <w:t xml:space="preserve">Expenses with airline tickets will be reimbursed by EMBRATUR in the amount effectively disbursed by the Contractor, based on 03 (three) budgets, with choice of the lowest price or the best cost/benefit ratio.</w:t>
      </w:r>
    </w:p>
    <w:p>
      <w:pPr>
        <w:spacing w:before="120" w:after="120" w:line="240" w:lineRule="auto"/>
        <w:ind w:left="120" w:right="120"/>
        <w:jc w:val="both"/>
        <w:rPr>
          <w:rFonts w:ascii="Calibri" w:hAnsi="Calibri" w:cs="Calibri" w:eastAsia="Times New Roman"/>
          <w:color w:val="000000"/>
          <w:sz w:val="27"/>
        </w:rPr>
        <w:pStyle w:val="P68B1DB1-Normal2"/>
      </w:pPr>
      <w:r>
        <w:t xml:space="preserve">Quotations must be dated and made with different companies that do not belong to the same corporate group and may be made on the websites of the respective airlines.</w:t>
      </w:r>
    </w:p>
    <w:p>
      <w:pPr>
        <w:spacing w:before="120" w:after="120" w:line="240" w:lineRule="auto"/>
        <w:ind w:left="120" w:right="120"/>
        <w:jc w:val="both"/>
        <w:rPr>
          <w:rFonts w:ascii="Calibri" w:hAnsi="Calibri" w:cs="Calibri" w:eastAsia="Times New Roman"/>
          <w:color w:val="000000"/>
          <w:sz w:val="27"/>
        </w:rPr>
        <w:pStyle w:val="P68B1DB1-Normal2"/>
      </w:pPr>
      <w:r>
        <w:t xml:space="preserve">Quotations must be made at least 10 (ten) days in advance. If there is no possibility of such advance, the Contractor shall justify the fact, in writing,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If there is no possibility of presenting 3 (three) quotations, considering the specificities of the displacements, the Contractor shall justify the fact, in writing,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In exceptional travel by means of means of transport other than air, EMBRATUR may approve the transportation based on the presentation, by the Contractor, of previous budgets and accountability in rules similar to those of air tickets according to sub-item 11.19.</w:t>
      </w:r>
    </w:p>
    <w:p>
      <w:pPr>
        <w:spacing w:before="120" w:after="120" w:line="240" w:lineRule="auto"/>
        <w:ind w:left="120" w:right="120"/>
        <w:jc w:val="both"/>
        <w:rPr>
          <w:rFonts w:ascii="Calibri" w:hAnsi="Calibri" w:cs="Calibri" w:eastAsia="Times New Roman"/>
          <w:color w:val="000000"/>
          <w:sz w:val="27"/>
        </w:rPr>
        <w:pStyle w:val="P68B1DB1-Normal2"/>
      </w:pPr>
      <w:r>
        <w:t xml:space="preserve">All other expenses with lodging, food, transfers or any other involved in the trip will be paid by EMBRATUR, through daily rates, in accordance with the values established in the Sole Annex of DIREX Resolution No. 07/2019 for its employees, or an instrument that replaces said annex.</w:t>
      </w:r>
    </w:p>
    <w:p>
      <w:pPr>
        <w:spacing w:before="120" w:after="120" w:line="240" w:lineRule="auto"/>
        <w:ind w:left="120" w:right="120"/>
        <w:jc w:val="both"/>
        <w:rPr>
          <w:rFonts w:ascii="Calibri" w:hAnsi="Calibri" w:cs="Calibri" w:eastAsia="Times New Roman"/>
          <w:color w:val="000000"/>
          <w:sz w:val="27"/>
        </w:rPr>
        <w:pStyle w:val="P68B1DB1-Normal2"/>
      </w:pPr>
      <w:r>
        <w:t xml:space="preserve">For daily rates in the country and abroad, the values referring to the "Other Travelers" Category, provided for in the Night Table; according to the values established in the Sole Annex of DIREX Resolution No. 19/2021 for its employees, or an instrument that replaces said annex.</w:t>
      </w:r>
    </w:p>
    <w:p>
      <w:pPr>
        <w:spacing w:before="120" w:after="120" w:line="240" w:lineRule="auto"/>
        <w:ind w:left="120" w:right="120"/>
        <w:jc w:val="both"/>
        <w:rPr>
          <w:rFonts w:ascii="Calibri" w:hAnsi="Calibri" w:cs="Calibri" w:eastAsia="Times New Roman"/>
          <w:color w:val="000000"/>
          <w:sz w:val="27"/>
        </w:rPr>
        <w:pStyle w:val="P68B1DB1-Normal2"/>
      </w:pPr>
      <w:r>
        <w:t xml:space="preserve">The accounting of the daily rates will occur in the manner applied to EMBRATUR employees.</w:t>
      </w:r>
    </w:p>
    <w:p>
      <w:pPr>
        <w:spacing w:before="120" w:after="120" w:line="240" w:lineRule="auto"/>
        <w:ind w:left="120" w:right="120"/>
        <w:jc w:val="both"/>
        <w:rPr>
          <w:rFonts w:ascii="Calibri" w:hAnsi="Calibri" w:cs="Calibri" w:eastAsia="Times New Roman"/>
          <w:color w:val="000000"/>
          <w:sz w:val="27"/>
        </w:rPr>
        <w:pStyle w:val="P68B1DB1-Normal2"/>
      </w:pPr>
      <w:r>
        <w:t xml:space="preserve">The accountability of the displacements of professionals on duty shall be made by means of a travel report to be presented by the Contractor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The travel report must be presented in Portuguese, with the characterization of "reimbursement" of the values, duly signed by the company representative (identified by name and position), accompanied by the following documents:</w:t>
      </w:r>
    </w:p>
    <w:p>
      <w:pPr>
        <w:spacing w:before="120" w:after="120" w:line="240" w:lineRule="auto"/>
        <w:ind w:left="1800" w:right="120"/>
        <w:jc w:val="both"/>
        <w:rPr>
          <w:rFonts w:ascii="Calibri" w:hAnsi="Calibri" w:cs="Calibri" w:eastAsia="Times New Roman"/>
          <w:color w:val="000000"/>
          <w:sz w:val="27"/>
        </w:rPr>
        <w:pStyle w:val="P68B1DB1-Normal2"/>
      </w:pPr>
      <w:r>
        <w:t xml:space="preserve">ticket price quotations for the requested stretch;</w:t>
      </w:r>
    </w:p>
    <w:p>
      <w:pPr>
        <w:spacing w:before="120" w:after="120" w:line="240" w:lineRule="auto"/>
        <w:ind w:left="1800" w:right="120"/>
        <w:jc w:val="both"/>
        <w:rPr>
          <w:rFonts w:ascii="Calibri" w:hAnsi="Calibri" w:cs="Calibri" w:eastAsia="Times New Roman"/>
          <w:color w:val="000000"/>
          <w:sz w:val="27"/>
        </w:rPr>
        <w:pStyle w:val="P68B1DB1-Normal2"/>
      </w:pPr>
      <w:r>
        <w:t xml:space="preserve">proof of purchase of the lowest price ticket; and</w:t>
      </w:r>
    </w:p>
    <w:p>
      <w:pPr>
        <w:spacing w:before="120" w:after="120" w:line="240" w:lineRule="auto"/>
        <w:ind w:left="1800" w:right="120"/>
        <w:jc w:val="both"/>
        <w:rPr>
          <w:rFonts w:ascii="Calibri" w:hAnsi="Calibri" w:cs="Calibri" w:eastAsia="Times New Roman"/>
          <w:color w:val="000000"/>
          <w:sz w:val="27"/>
        </w:rPr>
        <w:pStyle w:val="P68B1DB1-Normal2"/>
      </w:pPr>
      <w:r>
        <w:t xml:space="preserve">boarding passes</w:t>
      </w:r>
    </w:p>
    <w:p>
      <w:pPr>
        <w:spacing w:before="120" w:after="120" w:line="240" w:lineRule="auto"/>
        <w:ind w:left="120" w:right="120"/>
        <w:jc w:val="both"/>
        <w:rPr>
          <w:rFonts w:ascii="Calibri" w:hAnsi="Calibri" w:cs="Calibri" w:eastAsia="Times New Roman"/>
          <w:color w:val="000000"/>
          <w:sz w:val="27"/>
        </w:rPr>
        <w:pStyle w:val="P68B1DB1-Normal2"/>
      </w:pPr>
      <w:r>
        <w:t xml:space="preserve">The date to be considered for the quotation must be that of the Service Order that originated the trip, and the value to be used is the purchase.</w:t>
      </w:r>
    </w:p>
    <w:p>
      <w:pPr>
        <w:spacing w:before="120" w:after="120" w:line="240" w:lineRule="auto"/>
        <w:ind w:left="120" w:right="120"/>
        <w:jc w:val="both"/>
        <w:rPr>
          <w:rFonts w:ascii="Calibri" w:hAnsi="Calibri" w:cs="Calibri" w:eastAsia="Times New Roman"/>
          <w:color w:val="000000"/>
          <w:sz w:val="27"/>
        </w:rPr>
        <w:pStyle w:val="P68B1DB1-Normal2"/>
      </w:pPr>
      <w:r>
        <w:t xml:space="preserve">As the Central Bank presents the quotation with 04 (four) decimal places, the billing must consider the 04 (four) places in the calculation, with the cents being rounded in the final result, so that the amount to be reimbursed follows the monetary standard in reais.</w:t>
      </w:r>
    </w:p>
    <w:p>
      <w:pPr>
        <w:spacing w:before="120" w:after="120" w:line="240" w:lineRule="auto"/>
        <w:ind w:left="120" w:right="120"/>
        <w:jc w:val="both"/>
        <w:rPr>
          <w:rFonts w:ascii="Calibri" w:hAnsi="Calibri" w:cs="Calibri" w:eastAsia="Times New Roman"/>
          <w:color w:val="000000"/>
          <w:sz w:val="27"/>
        </w:rPr>
        <w:pStyle w:val="P68B1DB1-Normal2"/>
      </w:pPr>
      <w:r>
        <w:t xml:space="preserve">For the purpose of reimbursing expenses, the travel of professionals on duty, carried out outside the EMBRATUR headquarters city and outside the Contractor's base will be considered.</w:t>
      </w:r>
    </w:p>
    <w:p>
      <w:pPr>
        <w:spacing w:before="120" w:after="120" w:line="240" w:lineRule="auto"/>
        <w:ind w:left="120" w:right="120"/>
        <w:jc w:val="both"/>
        <w:rPr>
          <w:rFonts w:ascii="Calibri" w:hAnsi="Calibri" w:cs="Calibri" w:eastAsia="Times New Roman"/>
          <w:color w:val="000000"/>
          <w:sz w:val="27"/>
        </w:rPr>
        <w:pStyle w:val="P68B1DB1-Normal2"/>
      </w:pPr>
      <w:r>
        <w:t xml:space="preserve">In order to make the payment and remuneration for the execution of the products and services previously authorized by EMBRATUR, the Contractor shall submit the following documents: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Essential Products and Services </w:t>
      </w:r>
      <w:r>
        <w:rPr>
          <w:b/>
          <w:u w:val="single"/>
        </w:rPr>
        <w:t xml:space="preserve">(Appendix I)</w:t>
      </w:r>
      <w:r>
        <w:rPr>
          <w:b/>
        </w:rPr>
        <w:t>:</w:t>
      </w:r>
    </w:p>
    <w:p>
      <w:pPr>
        <w:spacing w:before="120" w:after="120" w:line="240" w:lineRule="auto"/>
        <w:ind w:left="1800" w:right="120"/>
        <w:jc w:val="both"/>
        <w:rPr>
          <w:rFonts w:ascii="Calibri" w:hAnsi="Calibri" w:cs="Calibri" w:eastAsia="Times New Roman"/>
          <w:color w:val="000000"/>
          <w:sz w:val="27"/>
        </w:rPr>
        <w:pStyle w:val="P68B1DB1-Normal2"/>
      </w:pPr>
      <w:r>
        <w:t xml:space="preserve">a1) invoice or bill issued, without erasure, in legible letter, in the name and CNPJ of EMBRATUR, which will contain the contract number, the description of the products and services performed, the number of the respective Service Order and the information for current account credit (name and bank number, name and branch number and account number);</w:t>
      </w:r>
    </w:p>
    <w:p>
      <w:pPr>
        <w:spacing w:before="120" w:after="120" w:line="240" w:lineRule="auto"/>
        <w:ind w:left="1800" w:right="120"/>
        <w:jc w:val="both"/>
        <w:rPr>
          <w:rFonts w:ascii="Calibri" w:hAnsi="Calibri" w:cs="Calibri" w:eastAsia="Times New Roman"/>
          <w:color w:val="000000"/>
          <w:sz w:val="27"/>
        </w:rPr>
        <w:pStyle w:val="P68B1DB1-Normal2"/>
      </w:pPr>
      <w:r>
        <w:t xml:space="preserve">a2) documents proving the execution of the products and services.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Complementary Products and Services </w:t>
      </w:r>
      <w:r>
        <w:rPr>
          <w:b/>
          <w:u w:val="single"/>
        </w:rPr>
        <w:t xml:space="preserve">(Appendix II</w:t>
      </w:r>
      <w:r>
        <w:rPr>
          <w:b/>
        </w:rPr>
        <w:t>)</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b1) invoice of the Contractor issued in accordance with the requirements described in item "a1)", for billing of fees levied on the prices of complementary products and services, </w:t>
      </w:r>
      <w:r>
        <w:rPr>
          <w:u w:val="single"/>
        </w:rPr>
        <w:t xml:space="preserve">accompanied by</w:t>
      </w:r>
      <w:r>
        <w:t xml:space="preserve"> the first copy of the tax document of the specialized supplier, which will be issued on behalf of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b2) documents proving the delivery of the products or execution of the Complementary services.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Expenditure on travel of professionals on duty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c1) debit note, issued according to the requirements described in item "a1)", listing the means of transport contracted, with the respective CNPJ, corporate name and values, as well as the amount of daily rates necessary to cover the other expenses involved in the travel;</w:t>
      </w:r>
    </w:p>
    <w:p>
      <w:pPr>
        <w:spacing w:before="120" w:after="120" w:line="240" w:lineRule="auto"/>
        <w:ind w:left="1800" w:right="120"/>
        <w:jc w:val="both"/>
        <w:rPr>
          <w:rFonts w:ascii="Calibri" w:hAnsi="Calibri" w:cs="Calibri" w:eastAsia="Times New Roman"/>
          <w:color w:val="000000"/>
          <w:sz w:val="27"/>
        </w:rPr>
        <w:pStyle w:val="P68B1DB1-Normal2"/>
      </w:pPr>
      <w:r>
        <w:t xml:space="preserve">c2) accountability with travel report.</w:t>
      </w:r>
    </w:p>
    <w:p>
      <w:pPr>
        <w:spacing w:before="120" w:after="120" w:line="240" w:lineRule="auto"/>
        <w:ind w:left="120" w:right="120"/>
        <w:jc w:val="both"/>
        <w:rPr>
          <w:rFonts w:ascii="Calibri" w:hAnsi="Calibri" w:cs="Calibri" w:eastAsia="Times New Roman"/>
          <w:color w:val="000000"/>
          <w:sz w:val="27"/>
        </w:rPr>
        <w:pStyle w:val="P68B1DB1-Normal2"/>
      </w:pPr>
      <w:r>
        <w:t xml:space="preserve">It is authorized the issuance of Invoice through CNPJ of the subsidiary of the contracted company.</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case of issuance, according to item 11.20.1, it will be necessary to prove the tax regularity of the branch and the headquarters responsible for the contractual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corresponding invoice or bill must be delivered by the Contractor, directly to the manager or inspector of the contract, after due approval of the execution of the products and services (budgets, reports and vouchers).</w:t>
      </w:r>
    </w:p>
    <w:p>
      <w:pPr>
        <w:spacing w:before="120" w:after="120" w:line="240" w:lineRule="auto"/>
        <w:ind w:left="120" w:right="120"/>
        <w:jc w:val="both"/>
        <w:rPr>
          <w:rFonts w:ascii="Calibri" w:hAnsi="Calibri" w:cs="Calibri" w:eastAsia="Times New Roman"/>
          <w:color w:val="000000"/>
          <w:sz w:val="27"/>
        </w:rPr>
        <w:pStyle w:val="P68B1DB1-Normal2"/>
      </w:pPr>
      <w:r>
        <w:t xml:space="preserve">The payment will only be authorized after the "ATTESTATION" has been made by the contract manager in the invoice presented.</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 manager or his substitute will only attest to the execution of the products and services and will release the documents for payment when all the agreed conditions are fulfilled by the Contractor.</w:t>
      </w:r>
    </w:p>
    <w:p>
      <w:pPr>
        <w:spacing w:before="120" w:after="120" w:line="240" w:lineRule="auto"/>
        <w:ind w:left="120" w:right="120"/>
        <w:jc w:val="both"/>
        <w:rPr>
          <w:rFonts w:ascii="Calibri" w:hAnsi="Calibri" w:cs="Calibri" w:eastAsia="Times New Roman"/>
          <w:color w:val="000000"/>
          <w:sz w:val="27"/>
        </w:rPr>
        <w:pStyle w:val="P68B1DB1-Normal2"/>
      </w:pPr>
      <w:r>
        <w:t xml:space="preserve">The invoices issued by the Contractor must be accompanied by an attached document with the following statement, signed by an employee of the corporate communication company responsible for the documentation:</w:t>
      </w:r>
    </w:p>
    <w:p>
      <w:pPr>
        <w:spacing w:before="80" w:after="80" w:line="240" w:lineRule="auto"/>
        <w:ind w:left="2400"/>
        <w:jc w:val="both"/>
        <w:rPr>
          <w:rFonts w:ascii="Calibri" w:hAnsi="Calibri" w:cs="Calibri" w:eastAsia="Times New Roman"/>
          <w:color w:val="000000"/>
          <w:sz w:val="20"/>
        </w:rPr>
        <w:pStyle w:val="P68B1DB1-Normal5"/>
      </w:pPr>
      <w:r>
        <w:t xml:space="preserve">"We certify that all products and services described in Invoice No. XXXXX/YEAR, provided by specialized suppliers were delivered/performed as authorized by EMBRATUR, and the procedures provided for in the contract regarding the regularity of contracting and proof of execution are also observed."</w:t>
      </w:r>
    </w:p>
    <w:p>
      <w:pPr>
        <w:spacing w:before="120" w:after="120" w:line="240" w:lineRule="auto"/>
        <w:ind w:left="120" w:right="120"/>
        <w:jc w:val="both"/>
        <w:rPr>
          <w:rFonts w:ascii="Calibri" w:hAnsi="Calibri" w:cs="Calibri" w:eastAsia="Times New Roman"/>
          <w:color w:val="000000"/>
          <w:sz w:val="27"/>
        </w:rPr>
        <w:pStyle w:val="P68B1DB1-Normal2"/>
      </w:pPr>
      <w:r>
        <w:t xml:space="preserve">The payment of the products and services will be made after the presentation of the documents provided for as the case may be, and will be effected by means of a credit in a current account maintained by the Contractor, if EMBRATUR does not find faults in the documents presented.</w:t>
      </w:r>
    </w:p>
    <w:p>
      <w:pPr>
        <w:spacing w:before="120" w:after="120" w:line="240" w:lineRule="auto"/>
        <w:ind w:left="120" w:right="120"/>
        <w:jc w:val="both"/>
        <w:rPr>
          <w:rFonts w:ascii="Calibri" w:hAnsi="Calibri" w:cs="Calibri" w:eastAsia="Times New Roman"/>
          <w:color w:val="000000"/>
          <w:sz w:val="27"/>
        </w:rPr>
        <w:pStyle w:val="P68B1DB1-Normal2"/>
      </w:pPr>
      <w:r>
        <w:t xml:space="preserve">The date of payment shall be considered the day on which the payment order is recorded as issued.</w:t>
      </w:r>
    </w:p>
    <w:p>
      <w:pPr>
        <w:spacing w:before="120" w:after="120" w:line="240" w:lineRule="auto"/>
        <w:ind w:left="120" w:right="120"/>
        <w:jc w:val="both"/>
        <w:rPr>
          <w:rFonts w:ascii="Calibri" w:hAnsi="Calibri" w:cs="Calibri" w:eastAsia="Times New Roman"/>
          <w:color w:val="000000"/>
          <w:sz w:val="27"/>
        </w:rPr>
        <w:pStyle w:val="P68B1DB1-Normal2"/>
      </w:pPr>
      <w:r>
        <w:t xml:space="preserve">Before payment to the Contractor, the documents proving tax and labor regularity will be consulted, when applicable.</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as a withholding source, will discount and collect the taxes and contributions to which it is bound by current or supervening legislation, referring to the payments it makes.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shall assume, exclusively, all taxes (taxes and fees) that are due as a result of the execution of the products and services of the object of this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If the Contractor opts for the Integrated System for the Payment of Taxes and Contributions of Micro and Small Businesses – SIMPLES, it must present, together with the invoice, the due proof, in order to avoid withholding of taxes and contributions, according to the legislation in force.</w:t>
      </w:r>
    </w:p>
    <w:p>
      <w:pPr>
        <w:spacing w:before="120" w:after="120" w:line="240" w:lineRule="auto"/>
        <w:ind w:left="120" w:right="120"/>
        <w:jc w:val="both"/>
        <w:rPr>
          <w:rFonts w:ascii="Calibri" w:hAnsi="Calibri" w:cs="Calibri" w:eastAsia="Times New Roman"/>
          <w:color w:val="000000"/>
          <w:sz w:val="27"/>
        </w:rPr>
        <w:pStyle w:val="P68B1DB1-Normal2"/>
      </w:pPr>
      <w:r>
        <w:t xml:space="preserve">Before the payments are made, proof of the contractor's regularity will be made, by consulting the systems necessary for said verification and the website of the Superior Labor Court.</w:t>
      </w:r>
    </w:p>
    <w:p>
      <w:pPr>
        <w:spacing w:before="120" w:after="120" w:line="240" w:lineRule="auto"/>
        <w:ind w:left="120" w:right="120"/>
        <w:jc w:val="both"/>
        <w:rPr>
          <w:rFonts w:ascii="Calibri" w:hAnsi="Calibri" w:cs="Calibri" w:eastAsia="Times New Roman"/>
          <w:color w:val="000000"/>
          <w:sz w:val="27"/>
        </w:rPr>
        <w:pStyle w:val="P68B1DB1-Normal2"/>
      </w:pPr>
      <w:r>
        <w:t xml:space="preserve">It will be up to the management of EMBRATUR responsible for the settlement and payment to verify the regularity of the Contractor with regard to the following topics:</w:t>
      </w:r>
    </w:p>
    <w:p>
      <w:pPr>
        <w:spacing w:before="120" w:after="120" w:line="240" w:lineRule="auto"/>
        <w:ind w:left="1800" w:right="120"/>
        <w:jc w:val="both"/>
        <w:rPr>
          <w:rFonts w:ascii="Calibri" w:hAnsi="Calibri" w:cs="Calibri" w:eastAsia="Times New Roman"/>
          <w:color w:val="000000"/>
          <w:sz w:val="27"/>
        </w:rPr>
        <w:pStyle w:val="P68B1DB1-Normal2"/>
      </w:pPr>
      <w:r>
        <w:t xml:space="preserve">Certificate of Good Standing of the Severance Indemnity Fund for Employees (FGTS);</w:t>
      </w:r>
    </w:p>
    <w:p>
      <w:pPr>
        <w:spacing w:before="120" w:after="120" w:line="240" w:lineRule="auto"/>
        <w:ind w:left="1800" w:right="120"/>
        <w:jc w:val="both"/>
        <w:rPr>
          <w:rFonts w:ascii="Calibri" w:hAnsi="Calibri" w:cs="Calibri" w:eastAsia="Times New Roman"/>
          <w:color w:val="000000"/>
          <w:sz w:val="27"/>
        </w:rPr>
        <w:pStyle w:val="P68B1DB1-Normal2"/>
      </w:pPr>
      <w:r>
        <w:t xml:space="preserve">Joint Negative Certificate of Debts Relating to Federal Taxes and Active Debt of the Federal Government, issued by agencies of the Federal Revenue Service of Brazil and the Attorney General's Office of the National Treasury;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Debt clearance certificates issued by agencies of the State and Municipal Treasury Departments.</w:t>
      </w:r>
    </w:p>
    <w:p>
      <w:pPr>
        <w:spacing w:before="120" w:after="120" w:line="240" w:lineRule="auto"/>
        <w:ind w:left="120" w:right="120"/>
        <w:jc w:val="both"/>
        <w:rPr>
          <w:rFonts w:ascii="Calibri" w:hAnsi="Calibri" w:cs="Calibri" w:eastAsia="Times New Roman"/>
          <w:color w:val="000000"/>
          <w:sz w:val="27"/>
        </w:rPr>
        <w:pStyle w:val="P68B1DB1-Normal2"/>
      </w:pPr>
      <w:r>
        <w:t xml:space="preserve">If any irregularity is found, the Contractor shall be notified by the Manager or Inspector, in writing, so that within five (5) days it can regularize its situation or, within the same period, present its defense, under penalty of contractual termination.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term stipulated in the previous item may be extended at the discretion of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As it is an international bidding, foreign companies that do not operate in the country will meet the requirements of the previous paragraphs through equivalent documents, authenticated by the respective consulates and translated by a sworn translator, and must have legal representation in Brazil with express powers to receive summons and respond administratively or judicially.</w:t>
      </w:r>
    </w:p>
    <w:p>
      <w:pPr>
        <w:spacing w:before="120" w:after="120" w:line="240" w:lineRule="auto"/>
        <w:ind w:left="120" w:right="120"/>
        <w:jc w:val="both"/>
        <w:rPr>
          <w:rFonts w:ascii="Calibri" w:hAnsi="Calibri" w:cs="Calibri" w:eastAsia="Times New Roman"/>
          <w:color w:val="000000"/>
          <w:sz w:val="27"/>
        </w:rPr>
        <w:pStyle w:val="P68B1DB1-Normal2"/>
      </w:pPr>
      <w:r>
        <w:t xml:space="preserve">Any changes in bank details must be communicated to EMBRATUR, by letter, being under the responsibility of the CONTRACTOR the losses arising from incorrect payments due to lack of information.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payments made by EMBRATUR do not exempt the CONTRACTOR from its obligations and responsibilities assumed.</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services performed will be received by the Embratur representative who will carry out the verification and analysis of compliance, according to the deadlines stipulated in item </w:t>
      </w:r>
      <w:r>
        <w:rPr>
          <w:b/>
        </w:rPr>
        <w:t xml:space="preserve">10 - RECEIPT and ACCEPTANCE OF the OBJECT. </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may only issue and send the invoice to Embratur, from the definitive receipt of the service and authorization, by e-mail or other suitable means agreed between the contractor's agent and the contract manager,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After complying with all the aforementioned requirements and awaiting Embratur's procedural procedure, the Financial Coordination must make the payment </w:t>
      </w:r>
      <w:r>
        <w:rPr>
          <w:b/>
        </w:rPr>
        <w:t xml:space="preserve">within 10 (ten) business days</w:t>
      </w:r>
      <w:r>
        <w:t xml:space="preserve">, after receipt of said process.</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event of any late payment, upon request of the CONTRACTOR, provided that it has not competed in any way for such, it is agreed that the financial compensation rate due by the CONTRACTING PARTY shall be calculated by applying the following formula:</w:t>
      </w:r>
    </w:p>
    <w:p>
      <w:pPr>
        <w:spacing w:before="120" w:after="120" w:line="240" w:lineRule="auto"/>
        <w:ind w:left="120" w:right="120"/>
        <w:jc w:val="both"/>
        <w:rPr>
          <w:rFonts w:ascii="Calibri" w:hAnsi="Calibri" w:cs="Calibri" w:eastAsia="Times New Roman"/>
          <w:color w:val="000000"/>
          <w:sz w:val="27"/>
        </w:rPr>
        <w:pStyle w:val="P68B1DB1-Normal2"/>
      </w:pPr>
      <w:r>
        <w:t xml:space="preserve">EM = I x N x VP, where:</w:t>
      </w:r>
    </w:p>
    <w:p>
      <w:pPr>
        <w:spacing w:before="120" w:after="120" w:line="240" w:lineRule="auto"/>
        <w:ind w:left="120" w:right="120"/>
        <w:jc w:val="both"/>
        <w:rPr>
          <w:rFonts w:ascii="Calibri" w:hAnsi="Calibri" w:cs="Calibri" w:eastAsia="Times New Roman"/>
          <w:color w:val="000000"/>
          <w:sz w:val="27"/>
        </w:rPr>
        <w:pStyle w:val="P68B1DB1-Normal2"/>
      </w:pPr>
      <w:r>
        <w:t xml:space="preserve">EM = Charges for late payment;</w:t>
      </w:r>
    </w:p>
    <w:p>
      <w:pPr>
        <w:spacing w:before="120" w:after="120" w:line="240" w:lineRule="auto"/>
        <w:ind w:left="120" w:right="120"/>
        <w:jc w:val="both"/>
        <w:rPr>
          <w:rFonts w:ascii="Calibri" w:hAnsi="Calibri" w:cs="Calibri" w:eastAsia="Times New Roman"/>
          <w:color w:val="000000"/>
          <w:sz w:val="27"/>
        </w:rPr>
        <w:pStyle w:val="P68B1DB1-Normal2"/>
      </w:pPr>
      <w:r>
        <w:t xml:space="preserve">N = Number of days between the date expected for the payment and the actual payment;</w:t>
      </w:r>
    </w:p>
    <w:p>
      <w:pPr>
        <w:spacing w:before="120" w:after="120" w:line="240" w:lineRule="auto"/>
        <w:ind w:left="120" w:right="120"/>
        <w:jc w:val="both"/>
        <w:rPr>
          <w:rFonts w:ascii="Calibri" w:hAnsi="Calibri" w:cs="Calibri" w:eastAsia="Times New Roman"/>
          <w:color w:val="000000"/>
          <w:sz w:val="27"/>
        </w:rPr>
        <w:pStyle w:val="P68B1DB1-Normal2"/>
      </w:pPr>
      <w:r>
        <w:t xml:space="preserve">VP = Value of the portion to be paid.</w:t>
      </w:r>
    </w:p>
    <w:p>
      <w:pPr>
        <w:spacing w:before="120" w:after="120" w:line="240" w:lineRule="auto"/>
        <w:ind w:left="120" w:right="120"/>
        <w:jc w:val="both"/>
        <w:rPr>
          <w:rFonts w:ascii="Calibri" w:hAnsi="Calibri" w:cs="Calibri" w:eastAsia="Times New Roman"/>
          <w:color w:val="000000"/>
          <w:sz w:val="27"/>
        </w:rPr>
        <w:pStyle w:val="P68B1DB1-Normal2"/>
      </w:pPr>
      <w:r>
        <w:t xml:space="preserve">I = Financial compensation index = 0.00016438, as follows: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6"/>
        <w:gridCol w:w="1501"/>
        <w:gridCol w:w="3667"/>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 = (TX)</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 = </w:t>
            </w:r>
            <w:r>
              <w:rPr>
                <w:u w:val="single"/>
              </w:rPr>
              <w:t xml:space="preserve">( 6 / 100 )</w:t>
            </w:r>
          </w:p>
          <w:p>
            <w:pPr>
              <w:spacing w:before="120" w:after="120" w:line="240" w:lineRule="auto"/>
              <w:ind w:left="120" w:right="120"/>
              <w:jc w:val="both"/>
              <w:rPr>
                <w:rFonts w:ascii="Calibri" w:hAnsi="Calibri" w:cs="Calibri" w:eastAsia="Times New Roman"/>
                <w:color w:val="000000"/>
                <w:sz w:val="24"/>
              </w:rPr>
              <w:pStyle w:val="P68B1DB1-Normal4"/>
            </w:pPr>
            <w:r>
              <w:t>365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 = 0.00016438</w:t>
            </w:r>
          </w:p>
          <w:p>
            <w:pPr>
              <w:spacing w:before="120" w:after="120" w:line="240" w:lineRule="auto"/>
              <w:ind w:left="120" w:right="120"/>
              <w:jc w:val="both"/>
              <w:rPr>
                <w:rFonts w:ascii="Calibri" w:hAnsi="Calibri" w:cs="Calibri" w:eastAsia="Times New Roman"/>
                <w:color w:val="000000"/>
                <w:sz w:val="24"/>
              </w:rPr>
              <w:pStyle w:val="P68B1DB1-Normal4"/>
            </w:pPr>
            <w:r>
              <w:t xml:space="preserve">TX = Annual percentage rate = 6%</w:t>
            </w:r>
          </w:p>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bl>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READJUSTMENT OF ESSENTIAL PRODUCTS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The prices are fixed and non-adjustable within 1 (one) year from the date of signature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Within the term of the contract and at the request of the Contractor, the contracted prices may be adjusted after the interregnum of 1 (one) year, applying the Extended National Consumer Price Index – IPCA exclusively for the obligations initiated and concluded after the occurrence of the annuality.</w:t>
      </w:r>
    </w:p>
    <w:p>
      <w:pPr>
        <w:spacing w:before="120" w:after="120" w:line="240" w:lineRule="auto"/>
        <w:ind w:left="120" w:right="120"/>
        <w:jc w:val="both"/>
        <w:rPr>
          <w:rFonts w:ascii="Calibri" w:hAnsi="Calibri" w:cs="Calibri" w:eastAsia="Times New Roman"/>
          <w:color w:val="000000"/>
          <w:sz w:val="27"/>
        </w:rPr>
        <w:pStyle w:val="P68B1DB1-Normal2"/>
      </w:pPr>
      <w:r>
        <w:t xml:space="preserve">If the CONTRACTOR is a foreign company, within 06 (months)  after signing the contract, it may indicate another official inflation index of its country.</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shall forward the supporting documentation for analysis and approval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case of adjustments subsequent to the first one, the minimum interregnum of one year will be counted from the financial effects of the last adjustment.</w:t>
      </w:r>
    </w:p>
    <w:p>
      <w:pPr>
        <w:spacing w:before="120" w:after="120" w:line="240" w:lineRule="auto"/>
        <w:ind w:left="120" w:right="120"/>
        <w:jc w:val="both"/>
        <w:rPr>
          <w:rFonts w:ascii="Calibri" w:hAnsi="Calibri" w:cs="Calibri" w:eastAsia="Times New Roman"/>
          <w:color w:val="000000"/>
          <w:sz w:val="27"/>
        </w:rPr>
        <w:pStyle w:val="P68B1DB1-Normal2"/>
      </w:pPr>
      <w:r>
        <w:t xml:space="preserve">In case of delay or non-disclosure of the readjustment index, the CONTRACTING PARTY will pay the CONTRACTOR the amount calculated by the last known variation, settling the corresponding difference as soon as the definitive index is disclosed. The CONTRACTOR is obliged to present a calculation memory regarding the price adjustment of the remaining amount, whenever this occurs.</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final measurements, the index used for readjustment will necessarily be the definitive one.</w:t>
      </w:r>
    </w:p>
    <w:p>
      <w:pPr>
        <w:spacing w:before="120" w:after="120" w:line="240" w:lineRule="auto"/>
        <w:ind w:left="120" w:right="120"/>
        <w:jc w:val="both"/>
        <w:rPr>
          <w:rFonts w:ascii="Calibri" w:hAnsi="Calibri" w:cs="Calibri" w:eastAsia="Times New Roman"/>
          <w:color w:val="000000"/>
          <w:sz w:val="27"/>
        </w:rPr>
        <w:pStyle w:val="P68B1DB1-Normal2"/>
      </w:pPr>
      <w:r>
        <w:t xml:space="preserve">If the index established for adjustment is extinct or, in any case, can no longer be used, the one determined by the legislation then in effect will be adopted as substitute.</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absence of legal provision as to the substitute index, the parties will elect a new official index, for adjusting the price of the remaining value, by means of an additive term.</w:t>
      </w:r>
    </w:p>
    <w:p>
      <w:pPr>
        <w:spacing w:before="120" w:after="120" w:line="240" w:lineRule="auto"/>
        <w:ind w:left="120" w:right="120"/>
        <w:jc w:val="both"/>
        <w:rPr>
          <w:rFonts w:ascii="Calibri" w:hAnsi="Calibri" w:cs="Calibri" w:eastAsia="Times New Roman"/>
          <w:color w:val="000000"/>
          <w:sz w:val="27"/>
        </w:rPr>
        <w:pStyle w:val="P68B1DB1-Normal2"/>
      </w:pPr>
      <w:r>
        <w:t xml:space="preserve">The possibility of economic and financial rebalancing of the contractual values is guaranteed, which should provide the means of proof of the new market definitions that give rise to the economic imbalance of the contract, corroborated by cost spreadsheets.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CONTRACTUAL WARRANTY</w:t>
      </w:r>
    </w:p>
    <w:p>
      <w:pPr>
        <w:spacing w:before="120" w:after="120" w:line="240" w:lineRule="auto"/>
        <w:ind w:left="120" w:right="120"/>
        <w:jc w:val="both"/>
        <w:rPr>
          <w:rFonts w:ascii="Calibri" w:hAnsi="Calibri" w:cs="Calibri" w:eastAsia="Times New Roman"/>
          <w:color w:val="000000"/>
          <w:sz w:val="27"/>
        </w:rPr>
        <w:pStyle w:val="P68B1DB1-Normal2"/>
      </w:pPr>
      <w:r>
        <w:t xml:space="preserve">13.1. The CONTRACTOR, within </w:t>
      </w:r>
      <w:r>
        <w:rPr>
          <w:b/>
        </w:rPr>
        <w:t xml:space="preserve">10 (ten) days</w:t>
      </w:r>
      <w:r>
        <w:t xml:space="preserve"> after signing the Contract Term, will provide a guarantee in the amount corresponding to 1% (one percent)  of the contract value, which will be released in accordance with the conditions set forth in this Term of Reference, as provided in art. 39 of EMBRATUR's Bidding and Contracts Manual.</w:t>
      </w:r>
    </w:p>
    <w:p>
      <w:pPr>
        <w:spacing w:before="120" w:after="120" w:line="240" w:lineRule="auto"/>
        <w:ind w:left="120" w:right="120"/>
        <w:jc w:val="both"/>
        <w:rPr>
          <w:rFonts w:ascii="Calibri" w:hAnsi="Calibri" w:cs="Calibri" w:eastAsia="Times New Roman"/>
          <w:color w:val="000000"/>
          <w:sz w:val="27"/>
        </w:rPr>
        <w:pStyle w:val="P68B1DB1-Normal2"/>
      </w:pPr>
      <w:r>
        <w:t xml:space="preserve">13.1.1. Failure to comply with the deadline set for the presentation of the guarantee will result in the application of a fine of 0.01% (zero point zero one percent)  of the value of the contract per day of delay, up to a maximum of 2% (two percent);</w:t>
      </w:r>
    </w:p>
    <w:p>
      <w:pPr>
        <w:spacing w:before="120" w:after="120" w:line="240" w:lineRule="auto"/>
        <w:ind w:left="120" w:right="120"/>
        <w:jc w:val="both"/>
        <w:rPr>
          <w:rFonts w:ascii="Calibri" w:hAnsi="Calibri" w:cs="Calibri" w:eastAsia="Times New Roman"/>
          <w:color w:val="000000"/>
          <w:sz w:val="27"/>
        </w:rPr>
        <w:pStyle w:val="P68B1DB1-Normal2"/>
      </w:pPr>
      <w:r>
        <w:t xml:space="preserve">13.1.2. The delay of more than thirty (30) days authorizes the Agency to promote the termination of the contract for non-compliance or irregular compliance with its clauses, according to EMBRATUR's Bidding and Contracts Manual.</w:t>
      </w:r>
    </w:p>
    <w:p>
      <w:pPr>
        <w:spacing w:before="120" w:after="120" w:line="240" w:lineRule="auto"/>
        <w:ind w:left="120" w:right="120"/>
        <w:jc w:val="both"/>
        <w:rPr>
          <w:rFonts w:ascii="Calibri" w:hAnsi="Calibri" w:cs="Calibri" w:eastAsia="Times New Roman"/>
          <w:color w:val="000000"/>
          <w:sz w:val="27"/>
        </w:rPr>
        <w:pStyle w:val="P68B1DB1-Normal2"/>
      </w:pPr>
      <w:r>
        <w:t xml:space="preserve">13.2. The validity of the guarantee, whatever the modality chosen, must cover a period of 90 (ninety) days after the end of the contractual term.</w:t>
      </w:r>
    </w:p>
    <w:p>
      <w:pPr>
        <w:spacing w:before="120" w:after="120" w:line="240" w:lineRule="auto"/>
        <w:ind w:left="120" w:right="120"/>
        <w:jc w:val="both"/>
        <w:rPr>
          <w:rFonts w:ascii="Calibri" w:hAnsi="Calibri" w:cs="Calibri" w:eastAsia="Times New Roman"/>
          <w:color w:val="000000"/>
          <w:sz w:val="27"/>
        </w:rPr>
        <w:pStyle w:val="P68B1DB1-Normal2"/>
      </w:pPr>
      <w:r>
        <w:t xml:space="preserve">13.3 The guarantee shall ensure, whatever the mode chosen, payment of:</w:t>
      </w:r>
    </w:p>
    <w:p>
      <w:pPr>
        <w:spacing w:before="120" w:after="120" w:line="240" w:lineRule="auto"/>
        <w:ind w:left="120" w:right="120"/>
        <w:jc w:val="both"/>
        <w:rPr>
          <w:rFonts w:ascii="Calibri" w:hAnsi="Calibri" w:cs="Calibri" w:eastAsia="Times New Roman"/>
          <w:color w:val="000000"/>
          <w:sz w:val="27"/>
        </w:rPr>
        <w:pStyle w:val="P68B1DB1-Normal2"/>
      </w:pPr>
      <w:r>
        <w:t xml:space="preserve">13.3.1. losses arising from non-compliance with the object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13.3.2. direct damages caused to the Agency due to fault or intent during the execution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13.3.3. moratorium and punitive fines imposed by the Agency on the Contractor; and</w:t>
      </w:r>
    </w:p>
    <w:p>
      <w:pPr>
        <w:spacing w:before="120" w:after="120" w:line="240" w:lineRule="auto"/>
        <w:ind w:left="120" w:right="120"/>
        <w:jc w:val="both"/>
        <w:rPr>
          <w:rFonts w:ascii="Calibri" w:hAnsi="Calibri" w:cs="Calibri" w:eastAsia="Times New Roman"/>
          <w:color w:val="000000"/>
          <w:sz w:val="27"/>
        </w:rPr>
        <w:pStyle w:val="P68B1DB1-Normal2"/>
      </w:pPr>
      <w:r>
        <w:t xml:space="preserve">13.3.4 labor and social security obligations of any nature, not carried out by the contractor, when applicable.</w:t>
      </w:r>
    </w:p>
    <w:p>
      <w:pPr>
        <w:spacing w:before="120" w:after="120" w:line="240" w:lineRule="auto"/>
        <w:ind w:left="120" w:right="120"/>
        <w:jc w:val="both"/>
        <w:rPr>
          <w:rFonts w:ascii="Calibri" w:hAnsi="Calibri" w:cs="Calibri" w:eastAsia="Times New Roman"/>
          <w:color w:val="000000"/>
          <w:sz w:val="27"/>
        </w:rPr>
        <w:pStyle w:val="P68B1DB1-Normal2"/>
      </w:pPr>
      <w:r>
        <w:t xml:space="preserve">13.4. The Contractor shall choose one of the following types of guarantee:</w:t>
      </w:r>
    </w:p>
    <w:p>
      <w:pPr>
        <w:spacing w:before="120" w:after="120" w:line="240" w:lineRule="auto"/>
        <w:ind w:left="120" w:right="120"/>
        <w:jc w:val="both"/>
        <w:rPr>
          <w:rFonts w:ascii="Calibri" w:hAnsi="Calibri" w:cs="Calibri" w:eastAsia="Times New Roman"/>
          <w:color w:val="000000"/>
          <w:sz w:val="27"/>
        </w:rPr>
        <w:pStyle w:val="P68B1DB1-Normal2"/>
      </w:pPr>
      <w:r>
        <w:t xml:space="preserve">13.4.1. cash deposit; or</w:t>
      </w:r>
    </w:p>
    <w:p>
      <w:pPr>
        <w:spacing w:before="120" w:after="120" w:line="240" w:lineRule="auto"/>
        <w:ind w:left="120" w:right="120"/>
        <w:jc w:val="both"/>
        <w:rPr>
          <w:rFonts w:ascii="Calibri" w:hAnsi="Calibri" w:cs="Calibri" w:eastAsia="Times New Roman"/>
          <w:color w:val="000000"/>
          <w:sz w:val="27"/>
        </w:rPr>
        <w:pStyle w:val="P68B1DB1-Normal2"/>
      </w:pPr>
      <w:r>
        <w:t xml:space="preserve">13.4.2. warranty insurance; or</w:t>
      </w:r>
    </w:p>
    <w:p>
      <w:pPr>
        <w:spacing w:before="120" w:after="120" w:line="240" w:lineRule="auto"/>
        <w:ind w:left="120" w:right="120"/>
        <w:jc w:val="both"/>
        <w:rPr>
          <w:rFonts w:ascii="Calibri" w:hAnsi="Calibri" w:cs="Calibri" w:eastAsia="Times New Roman"/>
          <w:color w:val="000000"/>
          <w:sz w:val="27"/>
        </w:rPr>
        <w:pStyle w:val="P68B1DB1-Normal2"/>
      </w:pPr>
      <w:r>
        <w:t xml:space="preserve">13.4.3. bank guarantee.</w:t>
      </w:r>
    </w:p>
    <w:p>
      <w:pPr>
        <w:spacing w:before="120" w:after="120" w:line="240" w:lineRule="auto"/>
        <w:ind w:left="120" w:right="120"/>
        <w:jc w:val="both"/>
        <w:rPr>
          <w:rFonts w:ascii="Calibri" w:hAnsi="Calibri" w:cs="Calibri" w:eastAsia="Times New Roman"/>
          <w:color w:val="000000"/>
          <w:sz w:val="27"/>
        </w:rPr>
        <w:pStyle w:val="P68B1DB1-Normal2"/>
      </w:pPr>
      <w:r>
        <w:t xml:space="preserve">13.5. In the event of a change in the value of the contract, or extension of its term, the guarantee must be adjusted to the new situation or renewed, following the same parameters used when contracting, including the terms provided for in item 13.1.</w:t>
      </w:r>
    </w:p>
    <w:p>
      <w:pPr>
        <w:spacing w:before="120" w:after="120" w:line="240" w:lineRule="auto"/>
        <w:ind w:left="120" w:right="120"/>
        <w:jc w:val="both"/>
        <w:rPr>
          <w:rFonts w:ascii="Calibri" w:hAnsi="Calibri" w:cs="Calibri" w:eastAsia="Times New Roman"/>
          <w:color w:val="000000"/>
          <w:sz w:val="27"/>
        </w:rPr>
        <w:pStyle w:val="P68B1DB1-Normal2"/>
      </w:pPr>
      <w:r>
        <w:t xml:space="preserve">13.6 If the value of guarantee is used, wholly or partly, in payment of any obligation, the Contractor agrees to make its replacement in the maximum term of </w:t>
      </w:r>
      <w:r>
        <w:rPr>
          <w:b/>
        </w:rPr>
        <w:t xml:space="preserve">ten (10) business days</w:t>
      </w:r>
      <w:r>
        <w:t xml:space="preserve"> from the date of its notification.</w:t>
      </w:r>
    </w:p>
    <w:p>
      <w:pPr>
        <w:spacing w:before="120" w:after="120" w:line="240" w:lineRule="auto"/>
        <w:ind w:left="120" w:right="120"/>
        <w:jc w:val="both"/>
        <w:rPr>
          <w:rFonts w:ascii="Calibri" w:hAnsi="Calibri" w:cs="Calibri" w:eastAsia="Times New Roman"/>
          <w:color w:val="000000"/>
          <w:sz w:val="27"/>
        </w:rPr>
        <w:pStyle w:val="P68B1DB1-Normal2"/>
      </w:pPr>
      <w:r>
        <w:t xml:space="preserve">13.7 The Contracting Party shall perform the guarantee in accordance with the legislation governing the matter.</w:t>
      </w:r>
    </w:p>
    <w:p>
      <w:pPr>
        <w:spacing w:before="120" w:after="120" w:line="240" w:lineRule="auto"/>
        <w:ind w:left="120" w:right="120"/>
        <w:jc w:val="both"/>
        <w:rPr>
          <w:rFonts w:ascii="Calibri" w:hAnsi="Calibri" w:cs="Calibri" w:eastAsia="Times New Roman"/>
          <w:color w:val="000000"/>
          <w:sz w:val="27"/>
        </w:rPr>
        <w:pStyle w:val="P68B1DB1-Normal2"/>
      </w:pPr>
      <w:r>
        <w:t xml:space="preserve">13.8. The guarantee shall be considered extinct:</w:t>
      </w:r>
    </w:p>
    <w:p>
      <w:pPr>
        <w:spacing w:before="120" w:after="120" w:line="240" w:lineRule="auto"/>
        <w:ind w:left="120" w:right="120"/>
        <w:jc w:val="both"/>
        <w:rPr>
          <w:rFonts w:ascii="Calibri" w:hAnsi="Calibri" w:cs="Calibri" w:eastAsia="Times New Roman"/>
          <w:color w:val="000000"/>
          <w:sz w:val="27"/>
        </w:rPr>
        <w:pStyle w:val="P68B1DB1-Normal2"/>
      </w:pPr>
      <w:r>
        <w:t xml:space="preserve">13.8.1. with the return of the policy, letter of guarantee or authorization for the withdrawal of amounts deposited in cash as a guarantee, accompanied by a statement by the Contracting Party, by means of a detailed term, that the Contractor has complied with all the clauses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13.8.2. at the end of the period of ninety (90) days after the end of the term, if the Contracting Party does not report the occurrence of claims.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ADMINISTRATIVE SANCTIONS</w:t>
      </w:r>
    </w:p>
    <w:p>
      <w:pPr>
        <w:spacing w:before="120" w:after="120" w:line="240" w:lineRule="auto"/>
        <w:ind w:left="120" w:right="120"/>
        <w:jc w:val="both"/>
        <w:rPr>
          <w:rFonts w:ascii="Calibri" w:hAnsi="Calibri" w:cs="Calibri" w:eastAsia="Times New Roman"/>
          <w:color w:val="000000"/>
          <w:sz w:val="27"/>
        </w:rPr>
        <w:pStyle w:val="P68B1DB1-Normal2"/>
      </w:pPr>
      <w:r>
        <w:t xml:space="preserve">For total or partial non-execution of the object of this contract, the Administration may apply the following sanctions to the CONTRACTOR:</w:t>
      </w:r>
    </w:p>
    <w:p>
      <w:pPr>
        <w:spacing w:before="120" w:after="120" w:line="240" w:lineRule="auto"/>
        <w:ind w:left="120" w:right="120"/>
        <w:jc w:val="both"/>
        <w:rPr>
          <w:rFonts w:ascii="Calibri" w:hAnsi="Calibri" w:cs="Calibri" w:eastAsia="Times New Roman"/>
          <w:color w:val="000000"/>
          <w:sz w:val="27"/>
        </w:rPr>
        <w:pStyle w:val="P68B1DB1-Normal2"/>
      </w:pPr>
      <w:r>
        <w:t>Warning;</w:t>
      </w:r>
    </w:p>
    <w:p>
      <w:pPr>
        <w:spacing w:before="120" w:after="120" w:line="240" w:lineRule="auto"/>
        <w:ind w:left="120" w:right="120"/>
        <w:jc w:val="both"/>
        <w:rPr>
          <w:rFonts w:ascii="Calibri" w:hAnsi="Calibri" w:cs="Calibri" w:eastAsia="Times New Roman"/>
          <w:color w:val="000000"/>
          <w:sz w:val="27"/>
        </w:rPr>
        <w:pStyle w:val="P68B1DB1-Normal2"/>
      </w:pPr>
      <w:r>
        <w:t>Fines:</w:t>
      </w:r>
    </w:p>
    <w:p>
      <w:pPr>
        <w:spacing w:before="120" w:after="120" w:line="240" w:lineRule="auto"/>
        <w:ind w:left="120" w:right="120"/>
        <w:jc w:val="both"/>
        <w:rPr>
          <w:rFonts w:ascii="Calibri" w:hAnsi="Calibri" w:cs="Calibri" w:eastAsia="Times New Roman"/>
          <w:color w:val="000000"/>
          <w:sz w:val="27"/>
        </w:rPr>
        <w:pStyle w:val="P68B1DB1-Normal2"/>
      </w:pPr>
      <w:r>
        <w:t xml:space="preserve">Of 0.001% (one thousandth percent) of the total value of the contract, in which any product or service intended for it has been delivered or performed (provisionally or definitively) with delay, applicable per day of delay, being understood as delay, non-compliance with the contractual deadline for delivery/realization of the product/service;</w:t>
      </w:r>
    </w:p>
    <w:p>
      <w:pPr>
        <w:spacing w:before="120" w:after="120" w:line="240" w:lineRule="auto"/>
        <w:ind w:left="120" w:right="120"/>
        <w:jc w:val="both"/>
        <w:rPr>
          <w:rFonts w:ascii="Calibri" w:hAnsi="Calibri" w:cs="Calibri" w:eastAsia="Times New Roman"/>
          <w:color w:val="000000"/>
          <w:sz w:val="27"/>
        </w:rPr>
        <w:pStyle w:val="P68B1DB1-Normal2"/>
      </w:pPr>
      <w:r>
        <w:t xml:space="preserve">Of 0.001% (one thousandth percent) of the total value of the Contract for breach of any of its clauses or conditions, other than those specified in sub-item 14.1.2.1., applied twice in the recurrence;</w:t>
      </w:r>
    </w:p>
    <w:p>
      <w:pPr>
        <w:spacing w:before="120" w:after="120" w:line="240" w:lineRule="auto"/>
        <w:ind w:left="120" w:right="120"/>
        <w:jc w:val="both"/>
        <w:rPr>
          <w:rFonts w:ascii="Calibri" w:hAnsi="Calibri" w:cs="Calibri" w:eastAsia="Times New Roman"/>
          <w:color w:val="000000"/>
          <w:sz w:val="27"/>
        </w:rPr>
        <w:pStyle w:val="P68B1DB1-Normal2"/>
      </w:pPr>
      <w:r>
        <w:t xml:space="preserve">Suspension of bidding with EMBRATUR for up to 2 (two) years.</w:t>
      </w:r>
    </w:p>
    <w:p>
      <w:pPr>
        <w:spacing w:before="120" w:after="120" w:line="240" w:lineRule="auto"/>
        <w:ind w:left="120" w:right="120"/>
        <w:jc w:val="both"/>
        <w:rPr>
          <w:rFonts w:ascii="Calibri" w:hAnsi="Calibri" w:cs="Calibri" w:eastAsia="Times New Roman"/>
          <w:color w:val="000000"/>
          <w:sz w:val="27"/>
        </w:rPr>
        <w:pStyle w:val="P68B1DB1-Normal2"/>
      </w:pPr>
      <w:r>
        <w:t xml:space="preserve">The application of a sanction is conditioned to the transit of a sanctioning administrative process, which will guarantee adversary proceedings and ample defense.</w:t>
      </w:r>
    </w:p>
    <w:p>
      <w:pPr>
        <w:spacing w:before="120" w:after="120" w:line="240" w:lineRule="auto"/>
        <w:ind w:left="120" w:right="120"/>
        <w:jc w:val="both"/>
        <w:rPr>
          <w:rFonts w:ascii="Calibri" w:hAnsi="Calibri" w:cs="Calibri" w:eastAsia="Times New Roman"/>
          <w:color w:val="000000"/>
          <w:sz w:val="27"/>
        </w:rPr>
        <w:pStyle w:val="P68B1DB1-Normal2"/>
      </w:pPr>
      <w:r>
        <w:t xml:space="preserve">The dosimetry of the sanction must take into account the reasons of fact and law presented by the Contractor, the severity and scope of potential or materialized losses to EMBRATUR and the disapproval of the conduct, and must respect the exhaustive order provided for in item 14.1, being the mildest warning and the suspension of bidding the most serious.</w:t>
      </w:r>
    </w:p>
    <w:p>
      <w:pPr>
        <w:spacing w:before="120" w:after="120" w:line="240" w:lineRule="auto"/>
        <w:ind w:left="120" w:right="120"/>
        <w:jc w:val="both"/>
        <w:rPr>
          <w:rFonts w:ascii="Calibri" w:hAnsi="Calibri" w:cs="Calibri" w:eastAsia="Times New Roman"/>
          <w:color w:val="000000"/>
          <w:sz w:val="27"/>
        </w:rPr>
        <w:pStyle w:val="P68B1DB1-Normal2"/>
      </w:pPr>
      <w:r>
        <w:t xml:space="preserve">The penalty of a fine may be applied concurrently with the others, whenever an equity gain is identified to the company or significant losses to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process of applying penalties, the rules and procedures of EMBRATUR's Bidding and Contracts Manual shall prevail.</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SUPPLIER SELECTION CRITERIA</w:t>
      </w:r>
    </w:p>
    <w:p>
      <w:pPr>
        <w:spacing w:before="120" w:after="120" w:line="240" w:lineRule="auto"/>
        <w:ind w:left="120" w:right="120"/>
        <w:jc w:val="both"/>
        <w:rPr>
          <w:rFonts w:ascii="Calibri" w:hAnsi="Calibri" w:cs="Calibri" w:eastAsia="Times New Roman"/>
          <w:color w:val="000000"/>
          <w:sz w:val="27"/>
        </w:rPr>
        <w:pStyle w:val="P68B1DB1-Normal2"/>
      </w:pPr>
      <w:r>
        <w:t xml:space="preserve">The technical qualification criteria to be met by the supplier will be:</w:t>
      </w:r>
    </w:p>
    <w:p>
      <w:pPr>
        <w:spacing w:before="120" w:after="120" w:line="240" w:lineRule="auto"/>
        <w:ind w:left="1800" w:right="120"/>
        <w:jc w:val="both"/>
        <w:rPr>
          <w:rFonts w:ascii="Calibri" w:hAnsi="Calibri" w:cs="Calibri" w:eastAsia="Times New Roman"/>
          <w:color w:val="000000"/>
          <w:sz w:val="27"/>
        </w:rPr>
        <w:pStyle w:val="P68B1DB1-Normal2"/>
      </w:pPr>
      <w:r>
        <w:t xml:space="preserve">Presentation of the supporting documentation that demonstrates the capacity to serve/act at the international level, according to the lot tendered, through a certificate of technical capacity, issued on behalf of the bidder, by legal entities governed by public or private law, which proves the execution in services similar to the object of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The criterion for judging the proposal is the best technique.</w:t>
      </w:r>
    </w:p>
    <w:p>
      <w:pPr>
        <w:spacing w:before="120" w:after="120" w:line="240" w:lineRule="auto"/>
        <w:ind w:left="120" w:right="120"/>
        <w:jc w:val="both"/>
        <w:rPr>
          <w:rFonts w:ascii="Calibri" w:hAnsi="Calibri" w:cs="Calibri" w:eastAsia="Times New Roman"/>
          <w:color w:val="000000"/>
          <w:sz w:val="27"/>
        </w:rPr>
        <w:pStyle w:val="P68B1DB1-Normal2"/>
      </w:pPr>
      <w:r>
        <w:t xml:space="preserve">In this contracting there is no installment payment of the items, since the grouping is technically feasible and represents a gain in economies of scale, as well as facilitating EMBRATUR in the administration of a smaller number of contracts.</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PRESENTATION OF TECHNICAL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products and services will be contracted through bidding, in the Competition modality, of the </w:t>
      </w:r>
      <w:r>
        <w:t xml:space="preserve"> </w:t>
      </w:r>
      <w:r>
        <w:rPr>
          <w:u w:val="single"/>
        </w:rPr>
        <w:t>Best</w:t>
      </w:r>
      <w:r>
        <w:t xml:space="preserve"> Techniquetype, under the aegis of Embratur's Bidding and Contracts Manual.The bidders must submit technical proposals structured according to the following requirements and sub-questions: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0"/>
        <w:gridCol w:w="4428"/>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ASPECTS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SUBQUESTIONS</w:t>
            </w:r>
          </w:p>
        </w:tc>
      </w:tr>
      <w:tr>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numPr>
                <w:ilvl w:val="0"/>
                <w:numId w:val="1"/>
              </w:numPr>
              <w:spacing w:before="120" w:after="120" w:line="240" w:lineRule="auto"/>
              <w:ind w:left="840" w:right="120" w:firstLine="0"/>
              <w:jc w:val="both"/>
              <w:rPr>
                <w:rFonts w:ascii="Calibri" w:hAnsi="Calibri" w:cs="Calibri" w:eastAsia="Times New Roman"/>
                <w:color w:val="000000"/>
                <w:sz w:val="24"/>
              </w:rPr>
              <w:pStyle w:val="P68B1DB1-Normal4"/>
            </w:pPr>
            <w:r>
              <w:t xml:space="preserve">Corporate Communication Plan</w:t>
            </w:r>
          </w:p>
        </w:tc>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
              </w:numPr>
              <w:spacing w:before="120" w:after="120" w:line="240" w:lineRule="auto"/>
              <w:ind w:left="840" w:right="120" w:firstLine="0"/>
              <w:jc w:val="both"/>
              <w:rPr>
                <w:rFonts w:ascii="Calibri" w:hAnsi="Calibri" w:cs="Calibri" w:eastAsia="Times New Roman"/>
                <w:color w:val="000000"/>
                <w:sz w:val="24"/>
              </w:rPr>
              <w:pStyle w:val="P68B1DB1-Normal4"/>
            </w:pPr>
            <w:r>
              <w:t xml:space="preserve">Basic Reasoning</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
              </w:numPr>
              <w:spacing w:before="120" w:after="120" w:line="240" w:lineRule="auto"/>
              <w:ind w:left="840" w:right="120" w:firstLine="0"/>
              <w:jc w:val="both"/>
              <w:rPr>
                <w:rFonts w:ascii="Calibri" w:hAnsi="Calibri" w:cs="Calibri" w:eastAsia="Times New Roman"/>
                <w:color w:val="000000"/>
                <w:sz w:val="24"/>
              </w:rPr>
              <w:pStyle w:val="P68B1DB1-Normal4"/>
            </w:pPr>
            <w:r>
              <w:t xml:space="preserve">Corporate Communication Strategy</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
              </w:numPr>
              <w:spacing w:before="120" w:after="120" w:line="240" w:lineRule="auto"/>
              <w:ind w:left="840" w:right="120" w:firstLine="0"/>
              <w:jc w:val="both"/>
              <w:rPr>
                <w:rFonts w:ascii="Calibri" w:hAnsi="Calibri" w:cs="Calibri" w:eastAsia="Times New Roman"/>
                <w:color w:val="000000"/>
                <w:sz w:val="24"/>
              </w:rPr>
              <w:pStyle w:val="P68B1DB1-Normal4"/>
            </w:pPr>
            <w:r>
              <w:t xml:space="preserve">Corporate Communication Solution</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5"/>
              </w:numPr>
              <w:spacing w:before="120" w:after="120" w:line="240" w:lineRule="auto"/>
              <w:ind w:left="840" w:right="120" w:firstLine="0"/>
              <w:jc w:val="both"/>
              <w:rPr>
                <w:rFonts w:ascii="Calibri" w:hAnsi="Calibri" w:cs="Calibri" w:eastAsia="Times New Roman"/>
                <w:color w:val="000000"/>
                <w:sz w:val="24"/>
              </w:rPr>
              <w:pStyle w:val="P68B1DB1-Normal4"/>
            </w:pPr>
            <w:r>
              <w:t xml:space="preserve">Implementation Plan</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numPr>
                <w:ilvl w:val="0"/>
                <w:numId w:val="6"/>
              </w:numPr>
              <w:spacing w:before="120" w:after="120" w:line="240" w:lineRule="auto"/>
              <w:ind w:left="840" w:right="120" w:firstLine="0"/>
              <w:jc w:val="both"/>
              <w:rPr>
                <w:rFonts w:ascii="Calibri" w:hAnsi="Calibri" w:cs="Calibri" w:eastAsia="Times New Roman"/>
                <w:color w:val="000000"/>
                <w:sz w:val="24"/>
              </w:rPr>
              <w:pStyle w:val="P68B1DB1-Normal4"/>
            </w:pPr>
            <w:r>
              <w:t xml:space="preserve">Service Capacity</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numPr>
                <w:ilvl w:val="0"/>
                <w:numId w:val="7"/>
              </w:numPr>
              <w:spacing w:before="120" w:after="120" w:line="240" w:lineRule="auto"/>
              <w:ind w:left="840" w:right="120" w:firstLine="0"/>
              <w:jc w:val="both"/>
              <w:rPr>
                <w:rFonts w:ascii="Calibri" w:hAnsi="Calibri" w:cs="Calibri" w:eastAsia="Times New Roman"/>
                <w:color w:val="000000"/>
                <w:sz w:val="24"/>
              </w:rPr>
              <w:pStyle w:val="P68B1DB1-Normal4"/>
            </w:pPr>
            <w:r>
              <w:t xml:space="preserve">Reports of Corporate Communication Solutions</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The Technical Proposal will be written in Portuguese, except for technical expressions of current use, with clarity, without amendments or erasures.</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Question 1 - Corporate Communication Plan - Unidentified Copy</w:t>
      </w:r>
      <w:r>
        <w:t xml:space="preserve">: for presentation of the Plan, the bidder must take into account the following guidelines:</w:t>
      </w:r>
    </w:p>
    <w:p>
      <w:pPr>
        <w:spacing w:before="120" w:after="120" w:line="240" w:lineRule="auto"/>
        <w:ind w:left="1800" w:right="120"/>
        <w:jc w:val="both"/>
        <w:rPr>
          <w:rFonts w:ascii="Calibri" w:hAnsi="Calibri" w:cs="Calibri" w:eastAsia="Times New Roman"/>
          <w:color w:val="000000"/>
          <w:sz w:val="27"/>
        </w:rPr>
        <w:pStyle w:val="P68B1DB1-Normal2"/>
      </w:pPr>
      <w:r>
        <w:t xml:space="preserve">in a single notebook, portrait orientation and with black spiral placed on the left;</w:t>
      </w:r>
    </w:p>
    <w:p>
      <w:pPr>
        <w:spacing w:before="120" w:after="120" w:line="240" w:lineRule="auto"/>
        <w:ind w:left="1800" w:right="120"/>
        <w:jc w:val="both"/>
        <w:rPr>
          <w:rFonts w:ascii="Calibri" w:hAnsi="Calibri" w:cs="Calibri" w:eastAsia="Times New Roman"/>
          <w:color w:val="000000"/>
          <w:sz w:val="27"/>
        </w:rPr>
        <w:pStyle w:val="P68B1DB1-Normal2"/>
      </w:pPr>
      <w:r>
        <w:t xml:space="preserve">a4 paper cover and back cover, white, with 90 gr/</w:t>
      </w:r>
      <w:r>
        <w:rPr>
          <w:vertAlign w:val="superscript"/>
        </w:rPr>
        <w:t>m2</w:t>
      </w:r>
      <w:r>
        <w:t xml:space="preserve">, both blank;</w:t>
      </w:r>
    </w:p>
    <w:p>
      <w:pPr>
        <w:spacing w:before="120" w:after="120" w:line="240" w:lineRule="auto"/>
        <w:ind w:left="1800" w:right="120"/>
        <w:jc w:val="both"/>
        <w:rPr>
          <w:rFonts w:ascii="Calibri" w:hAnsi="Calibri" w:cs="Calibri" w:eastAsia="Times New Roman"/>
          <w:color w:val="000000"/>
          <w:sz w:val="27"/>
        </w:rPr>
        <w:pStyle w:val="P68B1DB1-Normal2"/>
      </w:pPr>
      <w:r>
        <w:t xml:space="preserve">content printed on A4 paper, white, 75 gs-2m</w:t>
      </w:r>
      <w:r>
        <w:t xml:space="preserve">, portrait orientation;</w:t>
      </w:r>
    </w:p>
    <w:p>
      <w:pPr>
        <w:spacing w:before="120" w:after="120" w:line="240" w:lineRule="auto"/>
        <w:ind w:left="1800" w:right="120"/>
        <w:jc w:val="both"/>
        <w:rPr>
          <w:rFonts w:ascii="Calibri" w:hAnsi="Calibri" w:cs="Calibri" w:eastAsia="Times New Roman"/>
          <w:color w:val="000000"/>
          <w:sz w:val="27"/>
        </w:rPr>
        <w:pStyle w:val="P68B1DB1-Normal2"/>
      </w:pPr>
      <w:r>
        <w:t xml:space="preserve">spacing of 3 cm on the left margin and 2 cm on the right, from the respective edges;</w:t>
      </w:r>
    </w:p>
    <w:p>
      <w:pPr>
        <w:spacing w:before="120" w:after="120" w:line="240" w:lineRule="auto"/>
        <w:ind w:left="1800" w:right="120"/>
        <w:jc w:val="both"/>
        <w:rPr>
          <w:rFonts w:ascii="Calibri" w:hAnsi="Calibri" w:cs="Calibri" w:eastAsia="Times New Roman"/>
          <w:color w:val="000000"/>
          <w:sz w:val="27"/>
        </w:rPr>
        <w:pStyle w:val="P68B1DB1-Normal2"/>
      </w:pPr>
      <w:r>
        <w:t xml:space="preserve">titles, entertainments, paragraphs and subsequent lines without indentation;</w:t>
      </w:r>
    </w:p>
    <w:p>
      <w:pPr>
        <w:spacing w:before="120" w:after="120" w:line="240" w:lineRule="auto"/>
        <w:ind w:left="1800" w:right="120"/>
        <w:jc w:val="both"/>
        <w:rPr>
          <w:rFonts w:ascii="Calibri" w:hAnsi="Calibri" w:cs="Calibri" w:eastAsia="Times New Roman"/>
          <w:color w:val="000000"/>
          <w:sz w:val="27"/>
        </w:rPr>
        <w:pStyle w:val="P68B1DB1-Normal2"/>
      </w:pPr>
      <w:r>
        <w:t xml:space="preserve">single spacing between lines and, optionally, double spacing after headings and headings and between paragraphs;</w:t>
      </w:r>
    </w:p>
    <w:p>
      <w:pPr>
        <w:spacing w:before="120" w:after="120" w:line="240" w:lineRule="auto"/>
        <w:ind w:left="1800" w:right="120"/>
        <w:jc w:val="both"/>
        <w:rPr>
          <w:rFonts w:ascii="Calibri" w:hAnsi="Calibri" w:cs="Calibri" w:eastAsia="Times New Roman"/>
          <w:color w:val="000000"/>
          <w:sz w:val="27"/>
        </w:rPr>
        <w:pStyle w:val="P68B1DB1-Normal2"/>
      </w:pPr>
      <w:r>
        <w:t xml:space="preserve">justified alignment of the text;</w:t>
      </w:r>
    </w:p>
    <w:p>
      <w:pPr>
        <w:spacing w:before="120" w:after="120" w:line="240" w:lineRule="auto"/>
        <w:ind w:left="1800" w:right="120"/>
        <w:jc w:val="both"/>
        <w:rPr>
          <w:rFonts w:ascii="Calibri" w:hAnsi="Calibri" w:cs="Calibri" w:eastAsia="Times New Roman"/>
          <w:color w:val="000000"/>
          <w:sz w:val="27"/>
        </w:rPr>
        <w:pStyle w:val="P68B1DB1-Normal2"/>
      </w:pPr>
      <w:r>
        <w:t xml:space="preserve">text and numbering of pages in Arial font, black color, size 12 (twelve) points, subject to subitems 16.2.1, 16.2.2 and 16.2.3;</w:t>
      </w:r>
    </w:p>
    <w:p>
      <w:pPr>
        <w:spacing w:before="120" w:after="120" w:line="240" w:lineRule="auto"/>
        <w:ind w:left="1800" w:right="120"/>
        <w:jc w:val="both"/>
        <w:rPr>
          <w:rFonts w:ascii="Calibri" w:hAnsi="Calibri" w:cs="Calibri" w:eastAsia="Times New Roman"/>
          <w:color w:val="000000"/>
          <w:sz w:val="27"/>
        </w:rPr>
        <w:pStyle w:val="P68B1DB1-Normal2"/>
      </w:pPr>
      <w:r>
        <w:t xml:space="preserve">numbering of all pages, in the lower center, by the text editor, starting from the first internal page, in Arabic numerals;</w:t>
      </w:r>
    </w:p>
    <w:p>
      <w:pPr>
        <w:spacing w:before="120" w:after="120" w:line="240" w:lineRule="auto"/>
        <w:ind w:left="1800" w:right="120"/>
        <w:jc w:val="both"/>
        <w:rPr>
          <w:rFonts w:ascii="Calibri" w:hAnsi="Calibri" w:cs="Calibri" w:eastAsia="Times New Roman"/>
          <w:color w:val="000000"/>
          <w:sz w:val="27"/>
        </w:rPr>
        <w:pStyle w:val="P68B1DB1-Normal2"/>
      </w:pPr>
      <w:r>
        <w:t xml:space="preserve">without bidder ID</w:t>
      </w:r>
    </w:p>
    <w:p>
      <w:pPr>
        <w:spacing w:before="120" w:after="120" w:line="240" w:lineRule="auto"/>
        <w:ind w:left="120" w:right="120"/>
        <w:jc w:val="both"/>
        <w:rPr>
          <w:rFonts w:ascii="Calibri" w:hAnsi="Calibri" w:cs="Calibri" w:eastAsia="Times New Roman"/>
          <w:color w:val="000000"/>
          <w:sz w:val="27"/>
        </w:rPr>
        <w:pStyle w:val="P68B1DB1-Normal2"/>
      </w:pPr>
      <w:r>
        <w:t xml:space="preserve">The specifications of sub-item 16.2 do not apply to the examples of corporate communication actions and/or materials referred to in sub-item 16.3.3 (b) and to the indication provided for in sub-item 16.3.3.9.</w:t>
      </w:r>
    </w:p>
    <w:p>
      <w:pPr>
        <w:spacing w:before="120" w:after="120" w:line="240" w:lineRule="auto"/>
        <w:ind w:left="120" w:right="120"/>
        <w:jc w:val="both"/>
        <w:rPr>
          <w:rFonts w:ascii="Calibri" w:hAnsi="Calibri" w:cs="Calibri" w:eastAsia="Times New Roman"/>
          <w:color w:val="000000"/>
          <w:sz w:val="27"/>
        </w:rPr>
        <w:pStyle w:val="P68B1DB1-Normal2"/>
      </w:pPr>
      <w:r>
        <w:t xml:space="preserve">The Basic Reasoning and Corporate Communication Strategy subquites may have graphs, tables, tables or spreadsheets, observing the following guidelines:</w:t>
      </w:r>
    </w:p>
    <w:p>
      <w:pPr>
        <w:spacing w:before="120" w:after="120" w:line="240" w:lineRule="auto"/>
        <w:ind w:left="1800" w:right="120"/>
        <w:jc w:val="both"/>
        <w:rPr>
          <w:rFonts w:ascii="Calibri" w:hAnsi="Calibri" w:cs="Calibri" w:eastAsia="Times New Roman"/>
          <w:color w:val="000000"/>
          <w:sz w:val="27"/>
        </w:rPr>
        <w:pStyle w:val="P68B1DB1-Normal2"/>
      </w:pPr>
      <w:r>
        <w:t xml:space="preserve">can be edited in color;</w:t>
      </w:r>
    </w:p>
    <w:p>
      <w:pPr>
        <w:spacing w:before="120" w:after="120" w:line="240" w:lineRule="auto"/>
        <w:ind w:left="1800" w:right="120"/>
        <w:jc w:val="both"/>
        <w:rPr>
          <w:rFonts w:ascii="Calibri" w:hAnsi="Calibri" w:cs="Calibri" w:eastAsia="Times New Roman"/>
          <w:color w:val="000000"/>
          <w:sz w:val="27"/>
        </w:rPr>
        <w:pStyle w:val="P68B1DB1-Normal2"/>
      </w:pPr>
      <w:r>
        <w:t xml:space="preserve">the data and information must be edited in the Arial source and may have a size of 08 (eight) to 12 (twelve) points;</w:t>
      </w:r>
    </w:p>
    <w:p>
      <w:pPr>
        <w:spacing w:before="120" w:after="120" w:line="240" w:lineRule="auto"/>
        <w:ind w:left="1800" w:right="120"/>
        <w:jc w:val="both"/>
        <w:rPr>
          <w:rFonts w:ascii="Calibri" w:hAnsi="Calibri" w:cs="Calibri" w:eastAsia="Times New Roman"/>
          <w:color w:val="000000"/>
          <w:sz w:val="27"/>
        </w:rPr>
        <w:pStyle w:val="P68B1DB1-Normal2"/>
      </w:pPr>
      <w:r>
        <w:t xml:space="preserve">the pages on which they are inserted may be:</w:t>
      </w:r>
    </w:p>
    <w:p>
      <w:pPr>
        <w:spacing w:before="120" w:after="120" w:line="240" w:lineRule="auto"/>
        <w:ind w:left="1800" w:right="120"/>
        <w:jc w:val="both"/>
        <w:rPr>
          <w:rFonts w:ascii="Calibri" w:hAnsi="Calibri" w:cs="Calibri" w:eastAsia="Times New Roman"/>
          <w:color w:val="000000"/>
          <w:sz w:val="27"/>
        </w:rPr>
        <w:pStyle w:val="P68B1DB1-Normal2"/>
      </w:pPr>
      <w:r>
        <w:t xml:space="preserve">c1) presented on folded A3 paper. In this case, for the purposes of the maximum limit provided for in subitem 16.2.6, each A3 paper sheet will be computed as 02 (two) pages of A4 paper;</w:t>
      </w:r>
    </w:p>
    <w:p>
      <w:pPr>
        <w:spacing w:before="120" w:after="120" w:line="240" w:lineRule="auto"/>
        <w:ind w:left="1800" w:right="120"/>
        <w:jc w:val="both"/>
        <w:rPr>
          <w:rFonts w:ascii="Calibri" w:hAnsi="Calibri" w:cs="Calibri" w:eastAsia="Times New Roman"/>
          <w:color w:val="000000"/>
          <w:sz w:val="27"/>
        </w:rPr>
        <w:pStyle w:val="P68B1DB1-Normal2"/>
      </w:pPr>
      <w:r>
        <w:t xml:space="preserve">c2) printed in landscape orientation.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graphs, charts, tables or spreadsheets that are part of the sub-question Implementation Plan may:</w:t>
      </w:r>
    </w:p>
    <w:p>
      <w:pPr>
        <w:spacing w:before="120" w:after="120" w:line="240" w:lineRule="auto"/>
        <w:ind w:left="1800" w:right="120"/>
        <w:jc w:val="both"/>
        <w:rPr>
          <w:rFonts w:ascii="Calibri" w:hAnsi="Calibri" w:cs="Calibri" w:eastAsia="Times New Roman"/>
          <w:color w:val="000000"/>
          <w:sz w:val="27"/>
        </w:rPr>
        <w:pStyle w:val="P68B1DB1-Normal2"/>
      </w:pPr>
      <w:r>
        <w:t xml:space="preserve">I - be edited in color;</w:t>
      </w:r>
    </w:p>
    <w:p>
      <w:pPr>
        <w:spacing w:before="120" w:after="120" w:line="240" w:lineRule="auto"/>
        <w:ind w:left="1800" w:right="120"/>
        <w:jc w:val="both"/>
        <w:rPr>
          <w:rFonts w:ascii="Calibri" w:hAnsi="Calibri" w:cs="Calibri" w:eastAsia="Times New Roman"/>
          <w:color w:val="000000"/>
          <w:sz w:val="27"/>
        </w:rPr>
        <w:pStyle w:val="P68B1DB1-Normal2"/>
      </w:pPr>
      <w:r>
        <w:t xml:space="preserve">II - have fonts and font sizes commonly used in these resources;</w:t>
      </w:r>
    </w:p>
    <w:p>
      <w:pPr>
        <w:spacing w:before="120" w:after="120" w:line="240" w:lineRule="auto"/>
        <w:ind w:left="1800" w:right="120"/>
        <w:jc w:val="both"/>
        <w:rPr>
          <w:rFonts w:ascii="Calibri" w:hAnsi="Calibri" w:cs="Calibri" w:eastAsia="Times New Roman"/>
          <w:color w:val="000000"/>
          <w:sz w:val="27"/>
        </w:rPr>
        <w:pStyle w:val="P68B1DB1-Normal2"/>
      </w:pPr>
      <w:r>
        <w:t xml:space="preserve">III - have any type of margin formatting;</w:t>
      </w:r>
    </w:p>
    <w:p>
      <w:pPr>
        <w:spacing w:before="120" w:after="120" w:line="240" w:lineRule="auto"/>
        <w:ind w:left="1800" w:right="120"/>
        <w:jc w:val="both"/>
        <w:rPr>
          <w:rFonts w:ascii="Calibri" w:hAnsi="Calibri" w:cs="Calibri" w:eastAsia="Times New Roman"/>
          <w:color w:val="000000"/>
          <w:sz w:val="27"/>
        </w:rPr>
        <w:pStyle w:val="P68B1DB1-Normal2"/>
      </w:pPr>
      <w:r>
        <w:t xml:space="preserve">IV - be presented on A3 folded paper.</w:t>
      </w:r>
    </w:p>
    <w:p>
      <w:pPr>
        <w:spacing w:before="120" w:after="120" w:line="240" w:lineRule="auto"/>
        <w:ind w:left="120" w:right="120"/>
        <w:jc w:val="both"/>
        <w:rPr>
          <w:rFonts w:ascii="Calibri" w:hAnsi="Calibri" w:cs="Calibri" w:eastAsia="Times New Roman"/>
          <w:color w:val="000000"/>
          <w:sz w:val="27"/>
        </w:rPr>
        <w:pStyle w:val="P68B1DB1-Normal2"/>
      </w:pPr>
      <w:r>
        <w:t xml:space="preserve">The pages on which the charts, tables and spreadsheets of this subquite are inserted can be printed in the landscape orientation.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examples of actions and/or materials that are part of the subquirement Corporate Communication Solution must be presented separately from the notebook referred to in item ‘a’ of subitem 16.2.</w:t>
      </w:r>
    </w:p>
    <w:p>
      <w:pPr>
        <w:spacing w:before="120" w:after="120" w:line="240" w:lineRule="auto"/>
        <w:ind w:left="120" w:right="120"/>
        <w:jc w:val="both"/>
        <w:rPr>
          <w:rFonts w:ascii="Calibri" w:hAnsi="Calibri" w:cs="Calibri" w:eastAsia="Times New Roman"/>
          <w:color w:val="000000"/>
          <w:sz w:val="27"/>
        </w:rPr>
        <w:pStyle w:val="P68B1DB1-Normal2"/>
      </w:pPr>
      <w:r>
        <w:t xml:space="preserve">These examples must be adapted to the dimensions of Wrapper No. 2, and the bidder must pay attention to the provisions of sub-item 16.2.2 (c).</w:t>
      </w:r>
    </w:p>
    <w:p>
      <w:pPr>
        <w:spacing w:before="120" w:after="120" w:line="240" w:lineRule="auto"/>
        <w:ind w:left="120" w:right="120"/>
        <w:jc w:val="both"/>
        <w:rPr>
          <w:rFonts w:ascii="Calibri" w:hAnsi="Calibri" w:cs="Calibri" w:eastAsia="Times New Roman"/>
          <w:color w:val="000000"/>
          <w:sz w:val="27"/>
        </w:rPr>
        <w:pStyle w:val="P68B1DB1-Normal2"/>
      </w:pPr>
      <w:r>
        <w:t xml:space="preserve">The Corporate Communication Plan – Unidentified Way may </w:t>
      </w:r>
      <w:r>
        <w:rPr>
          <w:u w:val="single"/>
        </w:rPr>
        <w:t>not</w:t>
      </w:r>
      <w:r>
        <w:t xml:space="preserve"> have information, brand, sign, label or any other element that allows the identification of its authorship, before the opening of Wrapper No. 3.</w:t>
      </w:r>
    </w:p>
    <w:p>
      <w:pPr>
        <w:spacing w:before="120" w:after="120" w:line="240" w:lineRule="auto"/>
        <w:ind w:left="120" w:right="120"/>
        <w:jc w:val="both"/>
        <w:rPr>
          <w:rFonts w:ascii="Calibri" w:hAnsi="Calibri" w:cs="Calibri" w:eastAsia="Times New Roman"/>
          <w:color w:val="000000"/>
          <w:sz w:val="27"/>
        </w:rPr>
        <w:pStyle w:val="P68B1DB1-Normal2"/>
      </w:pPr>
      <w:r>
        <w:t xml:space="preserve">The texts of the Basic Reasoning, the Corporate Communication Strategy and the relationship provided for in item ‘a’ of sub-item 16.3.3 are limited, in the aggregate, to 15 (fifteen) pages.</w:t>
      </w:r>
    </w:p>
    <w:p>
      <w:pPr>
        <w:spacing w:before="120" w:after="120" w:line="240" w:lineRule="auto"/>
        <w:ind w:left="120" w:right="120"/>
        <w:jc w:val="both"/>
        <w:rPr>
          <w:rFonts w:ascii="Calibri" w:hAnsi="Calibri" w:cs="Calibri" w:eastAsia="Times New Roman"/>
          <w:color w:val="000000"/>
          <w:sz w:val="27"/>
        </w:rPr>
        <w:pStyle w:val="P68B1DB1-Normal2"/>
      </w:pPr>
      <w:r>
        <w:t xml:space="preserve">The texts, graphs, tables, tables and spreadsheets included in the Implementation Plan are limited, in the aggregate, to 10 (ten) pages, and the bidders are responsible for paying special attention to the provisions of item ‘c’ of sub-item 16.2.2 and sub-item 16.2.3.</w:t>
      </w:r>
    </w:p>
    <w:p>
      <w:pPr>
        <w:spacing w:before="120" w:after="120" w:line="240" w:lineRule="auto"/>
        <w:ind w:left="120" w:right="120"/>
        <w:jc w:val="both"/>
        <w:rPr>
          <w:rFonts w:ascii="Calibri" w:hAnsi="Calibri" w:cs="Calibri" w:eastAsia="Times New Roman"/>
          <w:color w:val="000000"/>
          <w:sz w:val="27"/>
        </w:rPr>
        <w:pStyle w:val="P68B1DB1-Normal2"/>
      </w:pPr>
      <w:r>
        <w:t xml:space="preserve">Isolated pages may be used for the purpose of indicating the Corporate Communication Plan and its sub-questions. These pages will not be computed within the limit of pages provided for in sub-item 16.2.6 and must follow the specifications of sub-item 16.2, as applicable.</w:t>
      </w:r>
    </w:p>
    <w:p>
      <w:pPr>
        <w:spacing w:before="120" w:after="120" w:line="240" w:lineRule="auto"/>
        <w:ind w:left="120" w:right="120"/>
        <w:jc w:val="both"/>
        <w:rPr>
          <w:rFonts w:ascii="Calibri" w:hAnsi="Calibri" w:cs="Calibri" w:eastAsia="Times New Roman"/>
          <w:color w:val="000000"/>
          <w:sz w:val="27"/>
        </w:rPr>
        <w:pStyle w:val="P68B1DB1-Normal2"/>
      </w:pPr>
      <w:r>
        <w:t xml:space="preserve">The bidder must submit the Corporate Communication Plan – Unidentified Copy based on the </w:t>
      </w:r>
      <w:r>
        <w:rPr>
          <w:i/>
        </w:rPr>
        <w:t xml:space="preserve">Briefing </w:t>
      </w:r>
      <w:r>
        <w:rPr>
          <w:b/>
        </w:rPr>
        <w:t xml:space="preserve">(Appendix VI)</w:t>
      </w:r>
      <w:r>
        <w:t xml:space="preserve">, observing the following provisions:</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Sub-Quality 1 – Basic Reasoning</w:t>
      </w:r>
      <w:r>
        <w:t xml:space="preserve"> – presentation in which the bidder will describe:</w:t>
      </w:r>
    </w:p>
    <w:p>
      <w:pPr>
        <w:spacing w:before="120" w:after="120" w:line="240" w:lineRule="auto"/>
        <w:ind w:left="1800" w:right="120"/>
        <w:jc w:val="both"/>
        <w:rPr>
          <w:rFonts w:ascii="Calibri" w:hAnsi="Calibri" w:cs="Calibri" w:eastAsia="Times New Roman"/>
          <w:color w:val="000000"/>
          <w:sz w:val="27"/>
        </w:rPr>
        <w:pStyle w:val="P68B1DB1-Normal2"/>
      </w:pPr>
      <w:r>
        <w:t xml:space="preserve">the analysis of the characteristics and specificities of the Contracting Party and its role in the context in which it operates;</w:t>
      </w:r>
    </w:p>
    <w:p>
      <w:pPr>
        <w:spacing w:before="120" w:after="120" w:line="240" w:lineRule="auto"/>
        <w:ind w:left="1800" w:right="120"/>
        <w:jc w:val="both"/>
        <w:rPr>
          <w:rFonts w:ascii="Calibri" w:hAnsi="Calibri" w:cs="Calibri" w:eastAsia="Times New Roman"/>
          <w:color w:val="000000"/>
          <w:sz w:val="27"/>
        </w:rPr>
        <w:pStyle w:val="P68B1DB1-Normal2"/>
      </w:pPr>
      <w:r>
        <w:t xml:space="preserve">the diagnosis of the corporate communication needs identified;</w:t>
      </w:r>
    </w:p>
    <w:p>
      <w:pPr>
        <w:spacing w:before="120" w:after="120" w:line="240" w:lineRule="auto"/>
        <w:ind w:left="1800" w:right="120"/>
        <w:jc w:val="both"/>
        <w:rPr>
          <w:rFonts w:ascii="Calibri" w:hAnsi="Calibri" w:cs="Calibri" w:eastAsia="Times New Roman"/>
          <w:color w:val="000000"/>
          <w:sz w:val="27"/>
        </w:rPr>
        <w:pStyle w:val="P68B1DB1-Normal2"/>
      </w:pPr>
      <w:r>
        <w:t xml:space="preserve">understanding EMBRATUR's relationship with its different audiences;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understanding the communication challenge and objectives set out in the </w:t>
      </w:r>
      <w:r>
        <w:rPr>
          <w:i/>
        </w:rPr>
        <w:t>Briefing</w:t>
      </w:r>
      <w:r>
        <w:t>.</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Subquestion 2 – Corporate Communication Strategy</w:t>
      </w:r>
      <w:r>
        <w:t xml:space="preserve"> – presentation and defense of the strategy proposed by the bidder to overcome the challenge and achieve the communication objectives established in the </w:t>
      </w:r>
      <w:r>
        <w:rPr>
          <w:i/>
        </w:rPr>
        <w:t>Briefing</w:t>
      </w:r>
      <w:r>
        <w:t xml:space="preserve">, comprising:</w:t>
      </w:r>
    </w:p>
    <w:p>
      <w:pPr>
        <w:spacing w:before="120" w:after="120" w:line="240" w:lineRule="auto"/>
        <w:ind w:left="1800" w:right="120"/>
        <w:jc w:val="both"/>
        <w:rPr>
          <w:rFonts w:ascii="Calibri" w:hAnsi="Calibri" w:cs="Calibri" w:eastAsia="Times New Roman"/>
          <w:color w:val="000000"/>
          <w:sz w:val="27"/>
        </w:rPr>
        <w:pStyle w:val="P68B1DB1-Normal2"/>
      </w:pPr>
      <w:r>
        <w:t xml:space="preserve">the explanation and defense of the recommendations to be observed by EMBRATUR's spokespersons in their relationship with the press, opinion makers and other stakeholders, linked to the </w:t>
      </w:r>
      <w:r>
        <w:rPr>
          <w:i/>
        </w:rPr>
        <w:t>Briefingtheme</w:t>
      </w:r>
      <w:r>
        <w:t xml:space="preserve">; and</w:t>
      </w:r>
    </w:p>
    <w:p>
      <w:pPr>
        <w:spacing w:before="120" w:after="120" w:line="240" w:lineRule="auto"/>
        <w:ind w:left="1800" w:right="120"/>
        <w:jc w:val="both"/>
        <w:rPr>
          <w:rFonts w:ascii="Calibri" w:hAnsi="Calibri" w:cs="Calibri" w:eastAsia="Times New Roman"/>
          <w:color w:val="000000"/>
          <w:sz w:val="27"/>
        </w:rPr>
        <w:pStyle w:val="P68B1DB1-Normal2"/>
      </w:pPr>
      <w:r>
        <w:t xml:space="preserve">proposition and defense of the central points of the proposal, especially: what to do; when to do it; how to do it, what own communication resources to use; what other corporate communication resources or instruments to use; editorial and content guidelines to be adopted; which audiences; what actions, instruments or materials to use; and what effects and expected results.</w:t>
      </w:r>
    </w:p>
    <w:p>
      <w:pPr>
        <w:spacing w:before="120" w:after="120" w:line="240" w:lineRule="auto"/>
        <w:ind w:left="120" w:right="120"/>
        <w:jc w:val="both"/>
        <w:rPr>
          <w:rFonts w:ascii="Calibri" w:hAnsi="Calibri" w:cs="Calibri" w:eastAsia="Times New Roman"/>
          <w:color w:val="000000"/>
          <w:sz w:val="27"/>
        </w:rPr>
        <w:pStyle w:val="P68B1DB1-Normal2"/>
      </w:pPr>
      <w:r>
        <w:t xml:space="preserve">The bidder may </w:t>
      </w:r>
      <w:r>
        <w:rPr>
          <w:u w:val="single"/>
        </w:rPr>
        <w:t>not</w:t>
      </w:r>
      <w:r>
        <w:t xml:space="preserve"> contemplate in the Corporate Communication Strategy promotion activities and the holding of events without connection with the nature of a corporate communication action, relationship with the press and public relations.</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Subquestion 3 – Corporate Communication Solution</w:t>
      </w:r>
      <w:r>
        <w:t xml:space="preserve"> – presentation of corporate communication actions and/or materials in accordance with the proposed strategy, including:</w:t>
      </w:r>
    </w:p>
    <w:p>
      <w:pPr>
        <w:spacing w:before="120" w:after="120" w:line="240" w:lineRule="auto"/>
        <w:ind w:left="1800" w:right="120"/>
        <w:jc w:val="both"/>
        <w:rPr>
          <w:rFonts w:ascii="Calibri" w:hAnsi="Calibri" w:cs="Calibri" w:eastAsia="Times New Roman"/>
          <w:color w:val="000000"/>
          <w:sz w:val="27"/>
        </w:rPr>
        <w:pStyle w:val="P68B1DB1-Normal2"/>
      </w:pPr>
      <w:r>
        <w:t xml:space="preserve">a) list of all corporate communication actions and/or materials that the bidder deems necessary to overcome the challenge and achieve the communication objectives established in the </w:t>
      </w:r>
      <w:r>
        <w:rPr>
          <w:i/>
        </w:rPr>
        <w:t>Briefing</w:t>
      </w:r>
      <w:r>
        <w:t xml:space="preserve">, with details of each one;</w:t>
      </w:r>
    </w:p>
    <w:p>
      <w:pPr>
        <w:spacing w:before="120" w:after="120" w:line="240" w:lineRule="auto"/>
        <w:ind w:left="1800" w:right="120"/>
        <w:jc w:val="both"/>
        <w:rPr>
          <w:rFonts w:ascii="Calibri" w:hAnsi="Calibri" w:cs="Calibri" w:eastAsia="Times New Roman"/>
          <w:color w:val="000000"/>
          <w:sz w:val="27"/>
        </w:rPr>
        <w:pStyle w:val="P68B1DB1-Normal2"/>
      </w:pPr>
      <w:r>
        <w:t xml:space="preserve">b) examples of the actions and/or corporate communication materials that present visual characteristics, contained in the list provided for in the previous paragraph, that the bidder deems most appropriate to illustrate its proposal, subject to the conditions established in sub-item 16.3.3.3.</w:t>
      </w:r>
    </w:p>
    <w:p>
      <w:pPr>
        <w:spacing w:before="120" w:after="120" w:line="240" w:lineRule="auto"/>
        <w:ind w:left="120" w:right="120"/>
        <w:jc w:val="both"/>
        <w:rPr>
          <w:rFonts w:ascii="Calibri" w:hAnsi="Calibri" w:cs="Calibri" w:eastAsia="Times New Roman"/>
          <w:color w:val="000000"/>
          <w:sz w:val="27"/>
        </w:rPr>
        <w:pStyle w:val="P68B1DB1-Normal2"/>
      </w:pPr>
      <w:r>
        <w:t xml:space="preserve">The details mentioned in item ‘a’ of sub-item 16.3.3 shall include the specification, dynamics or mechanism of each corporate communication action and/or instrument, the explanation of its purpose, its target audience and its tactical functions within the scope of the proposed strategy.</w:t>
      </w:r>
    </w:p>
    <w:p>
      <w:pPr>
        <w:spacing w:before="120" w:after="120" w:line="240" w:lineRule="auto"/>
        <w:ind w:left="120" w:right="120"/>
        <w:jc w:val="both"/>
        <w:rPr>
          <w:rFonts w:ascii="Calibri" w:hAnsi="Calibri" w:cs="Calibri" w:eastAsia="Times New Roman"/>
          <w:color w:val="000000"/>
          <w:sz w:val="27"/>
        </w:rPr>
        <w:pStyle w:val="P68B1DB1-Normal2"/>
      </w:pPr>
      <w:r>
        <w:t xml:space="preserve">If the bidder's proposal provides for a number of actions and/or corporate communication materials higher than the limit established in sub-item 16.3.3.3, which may be physically presented as examples, the list mentioned in sub-item 16.3.3 (a) shall be prepared in two blocks: one for the actions and/or materials presented as examples and the other for the remainder.</w:t>
      </w:r>
    </w:p>
    <w:p>
      <w:pPr>
        <w:spacing w:before="120" w:after="120" w:line="240" w:lineRule="auto"/>
        <w:ind w:left="120" w:right="120"/>
        <w:jc w:val="both"/>
        <w:rPr>
          <w:rFonts w:ascii="Calibri" w:hAnsi="Calibri" w:cs="Calibri" w:eastAsia="Times New Roman"/>
          <w:color w:val="000000"/>
          <w:sz w:val="27"/>
        </w:rPr>
        <w:pStyle w:val="P68B1DB1-Normal2"/>
      </w:pPr>
      <w:r>
        <w:t xml:space="preserve">The examples of corporate communication actions and/or materials referred to in item ‘b’ of sub-item 16.3.3 are limited to 5 (five), regardless of their type or characteristic and may be presented in the form of:</w:t>
      </w:r>
    </w:p>
    <w:p>
      <w:pPr>
        <w:spacing w:before="120" w:after="120" w:line="240" w:lineRule="auto"/>
        <w:ind w:left="1800" w:right="120"/>
        <w:jc w:val="both"/>
        <w:rPr>
          <w:rFonts w:ascii="Calibri" w:hAnsi="Calibri" w:cs="Calibri" w:eastAsia="Times New Roman"/>
          <w:color w:val="000000"/>
          <w:sz w:val="27"/>
        </w:rPr>
        <w:pStyle w:val="P68B1DB1-Normal2"/>
      </w:pPr>
      <w:r>
        <w:t xml:space="preserve">a) texts, scripts, </w:t>
      </w:r>
      <w:r>
        <w:rPr>
          <w:i/>
        </w:rPr>
        <w:t>storyboards</w:t>
      </w:r>
      <w:r>
        <w:t xml:space="preserve">, printed and/or assembled layouts (‘doll’);</w:t>
      </w:r>
    </w:p>
    <w:p>
      <w:pPr>
        <w:spacing w:before="120" w:after="120" w:line="240" w:lineRule="auto"/>
        <w:ind w:left="1800" w:right="120"/>
        <w:jc w:val="both"/>
        <w:rPr>
          <w:rFonts w:ascii="Calibri" w:hAnsi="Calibri" w:cs="Calibri" w:eastAsia="Times New Roman"/>
          <w:color w:val="000000"/>
          <w:sz w:val="27"/>
        </w:rPr>
        <w:pStyle w:val="P68B1DB1-Normal2"/>
      </w:pPr>
      <w:r>
        <w:t xml:space="preserve">b) storyboards or animatics</w:t>
      </w:r>
      <w:r>
        <w:rPr>
          <w:i/>
        </w:rPr>
        <w:t xml:space="preserve"> storyboards</w:t>
      </w:r>
      <w:r>
        <w:t xml:space="preserve"> </w:t>
      </w:r>
      <w:r>
        <w:rPr>
          <w:i/>
        </w:rPr>
        <w:t xml:space="preserve">; </w:t>
      </w:r>
      <w:r>
        <w:t>and</w:t>
      </w:r>
    </w:p>
    <w:p>
      <w:pPr>
        <w:spacing w:before="120" w:after="120" w:line="240" w:lineRule="auto"/>
        <w:ind w:left="1800" w:right="120"/>
        <w:jc w:val="both"/>
        <w:rPr>
          <w:rFonts w:ascii="Calibri" w:hAnsi="Calibri" w:cs="Calibri" w:eastAsia="Times New Roman"/>
          <w:color w:val="000000"/>
          <w:sz w:val="27"/>
        </w:rPr>
        <w:pStyle w:val="P68B1DB1-Normal2"/>
      </w:pPr>
      <w:r>
        <w:t xml:space="preserve">c) ‘monsters’ or electronic layouts.</w:t>
      </w:r>
    </w:p>
    <w:p>
      <w:pPr>
        <w:spacing w:before="120" w:after="120" w:line="240" w:lineRule="auto"/>
        <w:ind w:left="120" w:right="120"/>
        <w:jc w:val="both"/>
        <w:rPr>
          <w:rFonts w:ascii="Calibri" w:hAnsi="Calibri" w:cs="Calibri" w:eastAsia="Times New Roman"/>
          <w:color w:val="000000"/>
          <w:sz w:val="27"/>
        </w:rPr>
        <w:pStyle w:val="P68B1DB1-Normal2"/>
      </w:pPr>
      <w:r>
        <w:t xml:space="preserve">The </w:t>
      </w:r>
      <w:r>
        <w:rPr>
          <w:i/>
        </w:rPr>
        <w:t xml:space="preserve">Storyboards </w:t>
      </w:r>
      <w:r>
        <w:t xml:space="preserve">and printed and/or assembled layouts (‘doll’) must preserve the ability to read texts and messages, without color limitation, with or without support or </w:t>
      </w:r>
      <w:r>
        <w:rPr>
          <w:i/>
        </w:rPr>
        <w:t>pass-partout</w:t>
      </w:r>
      <w:r>
        <w:t xml:space="preserve">, subjectto the provisions of sub-item 16.2.4.</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animated or </w:t>
      </w:r>
      <w:r>
        <w:rPr>
          <w:i/>
        </w:rPr>
        <w:t xml:space="preserve">animatic </w:t>
      </w:r>
      <w:r>
        <w:t xml:space="preserve"> </w:t>
      </w:r>
      <w:r>
        <w:rPr>
          <w:i/>
        </w:rPr>
        <w:t>storyboard</w:t>
      </w:r>
      <w:r>
        <w:t xml:space="preserve">, photos and still images can be inserted, as well as soundtrack, voice of characters and voiceover.Moving images cannot be inserted.</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‘monsters’ or electronic layouts, all the reference elements of the action and/or corporate communication materials, such as moving images, soundtrack, and voiceover, can be inserted.</w:t>
      </w:r>
    </w:p>
    <w:p>
      <w:pPr>
        <w:spacing w:before="120" w:after="120" w:line="240" w:lineRule="auto"/>
        <w:ind w:left="120" w:right="120"/>
        <w:jc w:val="both"/>
        <w:rPr>
          <w:rFonts w:ascii="Calibri" w:hAnsi="Calibri" w:cs="Calibri" w:eastAsia="Times New Roman"/>
          <w:color w:val="000000"/>
          <w:sz w:val="27"/>
        </w:rPr>
        <w:pStyle w:val="P68B1DB1-Normal2"/>
      </w:pPr>
      <w:r>
        <w:t xml:space="preserve">The ‘monster’, the electronic layout, the animated or </w:t>
      </w:r>
      <w:r>
        <w:rPr>
          <w:i/>
        </w:rPr>
        <w:t xml:space="preserve">animatic </w:t>
      </w:r>
      <w:r>
        <w:t xml:space="preserve"> </w:t>
      </w:r>
      <w:r>
        <w:rPr>
          <w:i/>
        </w:rPr>
        <w:t xml:space="preserve">storyboard </w:t>
      </w:r>
      <w:r>
        <w:t xml:space="preserve">should be presented on CD, DVD or </w:t>
      </w:r>
      <w:r>
        <w:rPr>
          <w:i/>
        </w:rPr>
        <w:t xml:space="preserve">pen drive</w:t>
      </w:r>
      <w:r>
        <w:t xml:space="preserve">, executable on Windowsoperating </w:t>
      </w:r>
      <w:r>
        <w:t>system.</w:t>
      </w:r>
    </w:p>
    <w:p>
      <w:pPr>
        <w:spacing w:before="120" w:after="120" w:line="240" w:lineRule="auto"/>
        <w:ind w:left="120" w:right="120"/>
        <w:jc w:val="both"/>
        <w:rPr>
          <w:rFonts w:ascii="Calibri" w:hAnsi="Calibri" w:cs="Calibri" w:eastAsia="Times New Roman"/>
          <w:color w:val="000000"/>
          <w:sz w:val="27"/>
        </w:rPr>
        <w:pStyle w:val="P68B1DB1-Normal2"/>
      </w:pPr>
      <w:r>
        <w:t xml:space="preserve">16.3.3.7.1       These presentation media (CD, DVD or </w:t>
      </w:r>
      <w:r>
        <w:rPr>
          <w:i/>
        </w:rPr>
        <w:t xml:space="preserve">pen drive</w:t>
      </w:r>
      <w:r>
        <w:t xml:space="preserve">) may not contain information, brand, sign, label or any other element that allows the identification of the bidder or any advertiser, only the brand of its manufacturer.</w:t>
      </w:r>
    </w:p>
    <w:p>
      <w:pPr>
        <w:spacing w:before="120" w:after="120" w:line="240" w:lineRule="auto"/>
        <w:ind w:left="120" w:right="120"/>
        <w:jc w:val="both"/>
        <w:rPr>
          <w:rFonts w:ascii="Calibri" w:hAnsi="Calibri" w:cs="Calibri" w:eastAsia="Times New Roman"/>
          <w:color w:val="000000"/>
          <w:sz w:val="27"/>
        </w:rPr>
        <w:pStyle w:val="P68B1DB1-Normal2"/>
      </w:pPr>
      <w:r>
        <w:t xml:space="preserve">The examples will not be evaluated under the criteria generally used for finished materials, but only as references of the proposals to be produced, regardless of the form chosen by the bidder for presentation.</w:t>
      </w:r>
    </w:p>
    <w:p>
      <w:pPr>
        <w:spacing w:before="120" w:after="120" w:line="240" w:lineRule="auto"/>
        <w:ind w:left="120" w:right="120"/>
        <w:jc w:val="both"/>
        <w:rPr>
          <w:rFonts w:ascii="Calibri" w:hAnsi="Calibri" w:cs="Calibri" w:eastAsia="Times New Roman"/>
          <w:color w:val="000000"/>
          <w:sz w:val="27"/>
        </w:rPr>
        <w:pStyle w:val="P68B1DB1-Normal2"/>
      </w:pPr>
      <w:r>
        <w:t xml:space="preserve">To facilitate its comparison with the relationship provided for in item ’a’ of sub-item 16.3.3, each example must indicate the type of action and/or corporate communication material.</w:t>
      </w:r>
    </w:p>
    <w:p>
      <w:pPr>
        <w:spacing w:before="120" w:after="120" w:line="240" w:lineRule="auto"/>
        <w:ind w:left="120" w:right="120"/>
        <w:jc w:val="both"/>
        <w:rPr>
          <w:rFonts w:ascii="Calibri" w:hAnsi="Calibri" w:cs="Calibri" w:eastAsia="Times New Roman"/>
          <w:color w:val="000000"/>
          <w:sz w:val="27"/>
        </w:rPr>
        <w:pStyle w:val="P68B1DB1-Normal2"/>
      </w:pPr>
      <w:r>
        <w:t xml:space="preserve">For purposes of calculating the actions and/or corporate communication materials that may be physically presented as examples, up to the limit of 5 (five), the following rules must be observed:</w:t>
      </w:r>
    </w:p>
    <w:p>
      <w:pPr>
        <w:spacing w:before="120" w:after="120" w:line="240" w:lineRule="auto"/>
        <w:ind w:left="1800" w:right="120"/>
        <w:jc w:val="both"/>
        <w:rPr>
          <w:rFonts w:ascii="Calibri" w:hAnsi="Calibri" w:cs="Calibri" w:eastAsia="Times New Roman"/>
          <w:color w:val="000000"/>
          <w:sz w:val="27"/>
        </w:rPr>
        <w:pStyle w:val="P68B1DB1-Normal2"/>
      </w:pPr>
      <w:r>
        <w:t xml:space="preserve">a) variations in the approach of the texts produced will be considered as new examples;</w:t>
      </w:r>
    </w:p>
    <w:p>
      <w:pPr>
        <w:spacing w:before="120" w:after="120" w:line="240" w:lineRule="auto"/>
        <w:ind w:left="1800" w:right="120"/>
        <w:jc w:val="both"/>
        <w:rPr>
          <w:rFonts w:ascii="Calibri" w:hAnsi="Calibri" w:cs="Calibri" w:eastAsia="Times New Roman"/>
          <w:color w:val="000000"/>
          <w:sz w:val="27"/>
        </w:rPr>
        <w:pStyle w:val="P68B1DB1-Normal2"/>
      </w:pPr>
      <w:r>
        <w:t xml:space="preserve">b) each map of influencers related to the different aspects of the </w:t>
      </w:r>
      <w:r>
        <w:rPr>
          <w:i/>
        </w:rPr>
        <w:t>Briefing</w:t>
      </w:r>
      <w:r>
        <w:t xml:space="preserve"> will be considered 01 (one) new example;</w:t>
      </w:r>
    </w:p>
    <w:p>
      <w:pPr>
        <w:spacing w:before="120" w:after="120" w:line="240" w:lineRule="auto"/>
        <w:ind w:left="1800" w:right="120"/>
        <w:jc w:val="both"/>
        <w:rPr>
          <w:rFonts w:ascii="Calibri" w:hAnsi="Calibri" w:cs="Calibri" w:eastAsia="Times New Roman"/>
          <w:color w:val="000000"/>
          <w:sz w:val="27"/>
        </w:rPr>
        <w:pStyle w:val="P68B1DB1-Normal2"/>
      </w:pPr>
      <w:r>
        <w:t xml:space="preserve">c) a </w:t>
      </w:r>
      <w:r>
        <w:rPr>
          <w:i/>
        </w:rPr>
        <w:t xml:space="preserve">media training</w:t>
      </w:r>
      <w:r>
        <w:t xml:space="preserve"> structured in different modules for different audiences will be considered 01 (one) example;</w:t>
      </w:r>
    </w:p>
    <w:p>
      <w:pPr>
        <w:spacing w:before="120" w:after="120" w:line="240" w:lineRule="auto"/>
        <w:ind w:left="1800" w:right="120"/>
        <w:jc w:val="both"/>
        <w:rPr>
          <w:rFonts w:ascii="Calibri" w:hAnsi="Calibri" w:cs="Calibri" w:eastAsia="Times New Roman"/>
          <w:color w:val="000000"/>
          <w:sz w:val="27"/>
        </w:rPr>
        <w:pStyle w:val="P68B1DB1-Normal2"/>
      </w:pPr>
      <w:r>
        <w:t xml:space="preserve">d) a video </w:t>
      </w:r>
      <w:r>
        <w:rPr>
          <w:i/>
        </w:rPr>
        <w:t>release</w:t>
      </w:r>
      <w:r>
        <w:t xml:space="preserve"> (or a </w:t>
      </w:r>
      <w:r>
        <w:rPr>
          <w:i/>
        </w:rPr>
        <w:t>podcast</w:t>
      </w:r>
      <w:r>
        <w:t xml:space="preserve">) and the website where it will be hosted will be considered 02 (two) examples;</w:t>
      </w:r>
    </w:p>
    <w:p>
      <w:pPr>
        <w:spacing w:before="120" w:after="120" w:line="240" w:lineRule="auto"/>
        <w:ind w:left="1800" w:right="120"/>
        <w:jc w:val="both"/>
        <w:rPr>
          <w:rFonts w:ascii="Calibri" w:hAnsi="Calibri" w:cs="Calibri" w:eastAsia="Times New Roman"/>
          <w:color w:val="000000"/>
          <w:sz w:val="27"/>
        </w:rPr>
        <w:pStyle w:val="P68B1DB1-Normal2"/>
      </w:pPr>
      <w:r>
        <w:t xml:space="preserve">e) a manual distributed in a training will be considered 1 (one) example.</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Subquestion 4 – Implementation Plan</w:t>
      </w:r>
      <w:r>
        <w:t xml:space="preserve"> – the bidder must present and defend a plan for the development of corporate communication actions and/or materials contained in its proposal, including:</w:t>
      </w:r>
    </w:p>
    <w:p>
      <w:pPr>
        <w:spacing w:before="120" w:after="120" w:line="240" w:lineRule="auto"/>
        <w:ind w:left="1800" w:right="120"/>
        <w:jc w:val="both"/>
        <w:rPr>
          <w:rFonts w:ascii="Calibri" w:hAnsi="Calibri" w:cs="Calibri" w:eastAsia="Times New Roman"/>
          <w:color w:val="000000"/>
          <w:sz w:val="27"/>
        </w:rPr>
        <w:pStyle w:val="P68B1DB1-Normal2"/>
      </w:pPr>
      <w:r>
        <w:t xml:space="preserve">a) schedule of production, implementation, maintenance and completion of corporate communication actions and/or materials, with the respective audiences and periods; and</w:t>
      </w:r>
    </w:p>
    <w:p>
      <w:pPr>
        <w:spacing w:before="120" w:after="120" w:line="240" w:lineRule="auto"/>
        <w:ind w:left="1800" w:right="120"/>
        <w:jc w:val="both"/>
        <w:rPr>
          <w:rFonts w:ascii="Calibri" w:hAnsi="Calibri" w:cs="Calibri" w:eastAsia="Times New Roman"/>
          <w:color w:val="000000"/>
          <w:sz w:val="27"/>
        </w:rPr>
        <w:pStyle w:val="P68B1DB1-Normal2"/>
      </w:pPr>
      <w:r>
        <w:t xml:space="preserve">b) budget for the development of corporate communication actions and/or materials, with the respective values (absolute and percentages) of the investments allocated in their technical execution.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bidders must submit the budget provided for in item ‘b’ of sub-item 16.3.4, based on:</w:t>
      </w:r>
    </w:p>
    <w:p>
      <w:pPr>
        <w:spacing w:before="120" w:after="120" w:line="240" w:lineRule="auto"/>
        <w:ind w:left="1800" w:right="120"/>
        <w:jc w:val="both"/>
        <w:rPr>
          <w:rFonts w:ascii="Calibri" w:hAnsi="Calibri" w:cs="Calibri" w:eastAsia="Times New Roman"/>
          <w:color w:val="000000"/>
          <w:sz w:val="27"/>
        </w:rPr>
        <w:pStyle w:val="P68B1DB1-Normal2"/>
      </w:pPr>
      <w:r>
        <w:t xml:space="preserve">a) in the reference amount for investment, established in the Briefing of </w:t>
      </w:r>
      <w:r>
        <w:rPr>
          <w:b/>
        </w:rPr>
        <w:t xml:space="preserve">Appendix VI</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b) the </w:t>
      </w:r>
      <w:r>
        <w:rPr>
          <w:u w:val="single"/>
        </w:rPr>
        <w:t>full</w:t>
      </w:r>
      <w:r>
        <w:t xml:space="preserve"> values of the unit prices provided for in the Annual Execution Estimate Spreadsheet and Unit Prices of the Essential Products and Services of </w:t>
      </w:r>
      <w:r>
        <w:rPr>
          <w:b/>
        </w:rPr>
        <w:t xml:space="preserve">Appendix I</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 the market prices, at the time of bidding, related to the Complementary Products and Services, provided by specialized suppliers, whose categories are listed in </w:t>
      </w:r>
      <w:r>
        <w:rPr>
          <w:b/>
        </w:rPr>
        <w:t xml:space="preserve">Appendix II</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16.3.4.1.1.       If the Bid Notice is to be republished, with the resumption of the counting of the legal term, the market prices referred to in item ‘c‘ of subitem 16.3.4.1 shall be those in force on the date of publication of the last Bid Notice.</w:t>
      </w:r>
    </w:p>
    <w:p>
      <w:pPr>
        <w:spacing w:before="120" w:after="120" w:line="240" w:lineRule="auto"/>
        <w:ind w:left="120" w:right="120"/>
        <w:jc w:val="both"/>
        <w:rPr>
          <w:rFonts w:ascii="Calibri" w:hAnsi="Calibri" w:cs="Calibri" w:eastAsia="Times New Roman"/>
          <w:color w:val="000000"/>
          <w:sz w:val="27"/>
        </w:rPr>
        <w:pStyle w:val="P68B1DB1-Normal2"/>
      </w:pPr>
      <w:r>
        <w:t xml:space="preserve">16.3.4.1.2. Fees for Complementary Products and Services provided through specialized suppliers should be disregarded.</w:t>
      </w:r>
    </w:p>
    <w:p>
      <w:pPr>
        <w:spacing w:before="120" w:after="120" w:line="240" w:lineRule="auto"/>
        <w:ind w:left="120" w:right="120"/>
        <w:jc w:val="both"/>
        <w:rPr>
          <w:rFonts w:ascii="Calibri" w:hAnsi="Calibri" w:cs="Calibri" w:eastAsia="Times New Roman"/>
          <w:color w:val="000000"/>
          <w:sz w:val="27"/>
        </w:rPr>
        <w:pStyle w:val="P68B1DB1-Normal2"/>
      </w:pPr>
      <w:r>
        <w:t xml:space="preserve">All corporate communication actions and/or materials that integrate the relationship provided for in item ‘a‘ of sub-item 16.3.3, must be included in the Implementation Plan, both in the schedule and in the budget.</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The Corporate Communication Plan – Identified Copy</w:t>
      </w:r>
      <w:r>
        <w:t xml:space="preserve"> shall be a copy of the Corporate Communication Plan - Unidentified Copy, </w:t>
      </w:r>
      <w:r>
        <w:rPr>
          <w:u w:val="single"/>
        </w:rPr>
        <w:t>without</w:t>
      </w:r>
      <w:r>
        <w:t xml:space="preserve"> the examples of actions and/or materials of the Corporate Communication Solution, in order to provide the safe correlation of authorship, observing the following characteristics:</w:t>
      </w:r>
    </w:p>
    <w:p>
      <w:pPr>
        <w:spacing w:before="120" w:after="120" w:line="240" w:lineRule="auto"/>
        <w:ind w:left="1800" w:right="120"/>
        <w:jc w:val="both"/>
        <w:rPr>
          <w:rFonts w:ascii="Calibri" w:hAnsi="Calibri" w:cs="Calibri" w:eastAsia="Times New Roman"/>
          <w:color w:val="000000"/>
          <w:sz w:val="27"/>
        </w:rPr>
        <w:pStyle w:val="P68B1DB1-Normal2"/>
      </w:pPr>
      <w:r>
        <w:t xml:space="preserve">a) have the identification of the bidder;</w:t>
      </w:r>
    </w:p>
    <w:p>
      <w:pPr>
        <w:spacing w:before="120" w:after="120" w:line="240" w:lineRule="auto"/>
        <w:ind w:left="1800" w:right="120"/>
        <w:jc w:val="both"/>
        <w:rPr>
          <w:rFonts w:ascii="Calibri" w:hAnsi="Calibri" w:cs="Calibri" w:eastAsia="Times New Roman"/>
          <w:color w:val="000000"/>
          <w:sz w:val="27"/>
        </w:rPr>
        <w:pStyle w:val="P68B1DB1-Normal2"/>
      </w:pPr>
      <w:r>
        <w:t xml:space="preserve">b) be dated;</w:t>
      </w:r>
    </w:p>
    <w:p>
      <w:pPr>
        <w:spacing w:before="120" w:after="120" w:line="240" w:lineRule="auto"/>
        <w:ind w:left="1800" w:right="120"/>
        <w:jc w:val="both"/>
        <w:rPr>
          <w:rFonts w:ascii="Calibri" w:hAnsi="Calibri" w:cs="Calibri" w:eastAsia="Times New Roman"/>
          <w:color w:val="000000"/>
          <w:sz w:val="27"/>
        </w:rPr>
        <w:pStyle w:val="P68B1DB1-Normal2"/>
      </w:pPr>
      <w:r>
        <w:t xml:space="preserve">c) be signed on the last page and initialed on the others, by those who have powers of representation of the bidder, in the form of its articles of incorporation, duly identified.</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Question 2 – Service Capacity</w:t>
      </w:r>
      <w:r>
        <w:t xml:space="preserve">: the bidder must present the information that constitutes the item in a specific notebook, portrait orientation, in A4 format, or A3 folded, numbered sequentially from the first internal page, initialed on all pages and signed on the last by those who have powers of representation of the bidder, in the form of its constituent acts, duly identified.</w:t>
      </w:r>
    </w:p>
    <w:p>
      <w:pPr>
        <w:spacing w:before="120" w:after="120" w:line="240" w:lineRule="auto"/>
        <w:ind w:left="120" w:right="120"/>
        <w:jc w:val="both"/>
        <w:rPr>
          <w:rFonts w:ascii="Calibri" w:hAnsi="Calibri" w:cs="Calibri" w:eastAsia="Times New Roman"/>
          <w:color w:val="000000"/>
          <w:sz w:val="27"/>
        </w:rPr>
        <w:pStyle w:val="P68B1DB1-Normal2"/>
      </w:pPr>
      <w:r>
        <w:t xml:space="preserve">The specific notebook mentioned in sub-item 16.5 may </w:t>
      </w:r>
      <w:r>
        <w:rPr>
          <w:u w:val="single"/>
        </w:rPr>
        <w:t>not</w:t>
      </w:r>
      <w:r>
        <w:t xml:space="preserve"> present information, brand, sign, label or any other element that appears in the Corporate Communication Plan – Unidentified Way, which allows the identification of its authorship.</w:t>
      </w:r>
    </w:p>
    <w:p>
      <w:pPr>
        <w:spacing w:before="120" w:after="120" w:line="240" w:lineRule="auto"/>
        <w:ind w:left="120" w:right="120"/>
        <w:jc w:val="both"/>
        <w:rPr>
          <w:rFonts w:ascii="Calibri" w:hAnsi="Calibri" w:cs="Calibri" w:eastAsia="Times New Roman"/>
          <w:color w:val="000000"/>
          <w:sz w:val="27"/>
        </w:rPr>
        <w:pStyle w:val="P68B1DB1-Normal2"/>
      </w:pPr>
      <w:r>
        <w:t xml:space="preserve">The Service Capacity will consist of texts, tables, charts, graphs, spreadsheets, diagrams, photos and other resources, by means of which the bidder must present:</w:t>
      </w:r>
    </w:p>
    <w:p>
      <w:pPr>
        <w:spacing w:before="120" w:after="120" w:line="240" w:lineRule="auto"/>
        <w:ind w:left="1800" w:right="120"/>
        <w:jc w:val="both"/>
        <w:rPr>
          <w:rFonts w:ascii="Calibri" w:hAnsi="Calibri" w:cs="Calibri" w:eastAsia="Times New Roman"/>
          <w:color w:val="000000"/>
          <w:sz w:val="27"/>
        </w:rPr>
        <w:pStyle w:val="P68B1DB1-Normal2"/>
      </w:pPr>
      <w:r>
        <w:t xml:space="preserve">a) nominal list of its main customers at the time of bidding, for which it developed corporate communication solutions, specifying the start of service and the object of the contract or service provided to each of them;</w:t>
      </w:r>
    </w:p>
    <w:p>
      <w:pPr>
        <w:spacing w:before="120" w:after="120" w:line="240" w:lineRule="auto"/>
        <w:ind w:left="1800" w:right="120"/>
        <w:jc w:val="both"/>
        <w:rPr>
          <w:rFonts w:ascii="Calibri" w:hAnsi="Calibri" w:cs="Calibri" w:eastAsia="Times New Roman"/>
          <w:color w:val="000000"/>
          <w:sz w:val="27"/>
        </w:rPr>
        <w:pStyle w:val="P68B1DB1-Normal2"/>
      </w:pPr>
      <w:r>
        <w:t xml:space="preserve">b) quantification and qualification, in the form of a summary curriculum (at least, name, academic background and experience) of the professionals who may be made available for the execution of the contract, discriminating the respective areas of activity;</w:t>
      </w:r>
    </w:p>
    <w:p>
      <w:pPr>
        <w:spacing w:before="120" w:after="120" w:line="240" w:lineRule="auto"/>
        <w:ind w:left="1800" w:right="120"/>
        <w:jc w:val="both"/>
        <w:rPr>
          <w:rFonts w:ascii="Calibri" w:hAnsi="Calibri" w:cs="Calibri" w:eastAsia="Times New Roman"/>
          <w:color w:val="000000"/>
          <w:sz w:val="27"/>
        </w:rPr>
        <w:pStyle w:val="P68B1DB1-Normal2"/>
      </w:pPr>
      <w:r>
        <w:t xml:space="preserve">c) infrastructure, facilities and material resources of the bidder that will be available to the CONTRACTING PARTY; and</w:t>
      </w:r>
    </w:p>
    <w:p>
      <w:pPr>
        <w:spacing w:before="120" w:after="120" w:line="240" w:lineRule="auto"/>
        <w:ind w:left="1800" w:right="120"/>
        <w:jc w:val="both"/>
        <w:rPr>
          <w:rFonts w:ascii="Calibri" w:hAnsi="Calibri" w:cs="Calibri" w:eastAsia="Times New Roman"/>
          <w:color w:val="000000"/>
          <w:sz w:val="27"/>
        </w:rPr>
        <w:pStyle w:val="P68B1DB1-Normal2"/>
      </w:pPr>
      <w:r>
        <w:t xml:space="preserve">d) operational system of service, means and processes to be adopted in the relationship with the CONTRACTING PARTY considering the provision of services both on the premises of the CONTRACTOR and on the premises of the CONTRACTING PARTY.</w:t>
      </w:r>
    </w:p>
    <w:p>
      <w:pPr>
        <w:spacing w:before="120" w:after="120" w:line="240" w:lineRule="auto"/>
        <w:ind w:left="120" w:right="120"/>
        <w:jc w:val="both"/>
        <w:rPr>
          <w:rFonts w:ascii="Calibri" w:hAnsi="Calibri" w:cs="Calibri" w:eastAsia="Times New Roman"/>
          <w:color w:val="000000"/>
          <w:sz w:val="27"/>
        </w:rPr>
        <w:pStyle w:val="P68B1DB1-Normal2"/>
      </w:pPr>
      <w:r>
        <w:rPr>
          <w:u w:val="single"/>
        </w:rPr>
        <w:t xml:space="preserve">Question 3 – Reports of Corporate Communication Solutions</w:t>
      </w:r>
      <w:r>
        <w:t xml:space="preserve">: the bidder must present the documents, information and actions and/or corporate communication materials that constitute the item, in a specific notebook, portrait orientation, in A4 format, numbered sequentially from the first internal page, initialed on all pages and signed on the last by those who have powers of representation of the bidder, in the form of its articles of incorporation, duly identified.</w:t>
      </w:r>
    </w:p>
    <w:p>
      <w:pPr>
        <w:spacing w:before="120" w:after="120" w:line="240" w:lineRule="auto"/>
        <w:ind w:left="120" w:right="120"/>
        <w:jc w:val="both"/>
        <w:rPr>
          <w:rFonts w:ascii="Calibri" w:hAnsi="Calibri" w:cs="Calibri" w:eastAsia="Times New Roman"/>
          <w:color w:val="000000"/>
          <w:sz w:val="27"/>
        </w:rPr>
        <w:pStyle w:val="P68B1DB1-Normal2"/>
      </w:pPr>
      <w:r>
        <w:t xml:space="preserve">The documents, information and actions and/or materials of the reports mentioned in the previous sub-item may </w:t>
      </w:r>
      <w:r>
        <w:rPr>
          <w:u w:val="single"/>
        </w:rPr>
        <w:t>not</w:t>
      </w:r>
      <w:r>
        <w:t xml:space="preserve"> have information, brand, sign, label or any other element contained in the Corporate Communication Plan – Unidentified Copy, which allows the identification of its authorship, before the opening of Wrapper No. 3.</w:t>
      </w:r>
    </w:p>
    <w:p>
      <w:pPr>
        <w:spacing w:before="120" w:after="120" w:line="240" w:lineRule="auto"/>
        <w:ind w:left="120" w:right="120"/>
        <w:jc w:val="both"/>
        <w:rPr>
          <w:rFonts w:ascii="Calibri" w:hAnsi="Calibri" w:cs="Calibri" w:eastAsia="Times New Roman"/>
          <w:color w:val="000000"/>
          <w:sz w:val="27"/>
        </w:rPr>
        <w:pStyle w:val="P68B1DB1-Normal2"/>
      </w:pPr>
      <w:r>
        <w:t xml:space="preserve">The bidder must submit 2 (two) reports, each with a maximum of 5 (five) pages, in which corporate communication solutions proposed by the bidder and implemented by its customers will be described, in order to overcome communication challenges. Each report:</w:t>
      </w:r>
    </w:p>
    <w:p>
      <w:pPr>
        <w:spacing w:before="120" w:after="120" w:line="240" w:lineRule="auto"/>
        <w:ind w:left="1800" w:right="120"/>
        <w:jc w:val="both"/>
        <w:rPr>
          <w:rFonts w:ascii="Calibri" w:hAnsi="Calibri" w:cs="Calibri" w:eastAsia="Times New Roman"/>
          <w:color w:val="000000"/>
          <w:sz w:val="27"/>
        </w:rPr>
        <w:pStyle w:val="P68B1DB1-Normal2"/>
      </w:pPr>
      <w:r>
        <w:t xml:space="preserve">a) must be prepared by the bidder, on paper that identifies it;</w:t>
      </w:r>
    </w:p>
    <w:p>
      <w:pPr>
        <w:spacing w:before="120" w:after="120" w:line="240" w:lineRule="auto"/>
        <w:ind w:left="1800" w:right="120"/>
        <w:jc w:val="both"/>
        <w:rPr>
          <w:rFonts w:ascii="Calibri" w:hAnsi="Calibri" w:cs="Calibri" w:eastAsia="Times New Roman"/>
          <w:color w:val="000000"/>
          <w:sz w:val="27"/>
        </w:rPr>
        <w:pStyle w:val="P68B1DB1-Normal2"/>
      </w:pPr>
      <w:r>
        <w:t xml:space="preserve">b) must include the name, position or function and signature of the bidder's employee responsible for its preparation;</w:t>
      </w:r>
    </w:p>
    <w:p>
      <w:pPr>
        <w:spacing w:before="120" w:after="120" w:line="240" w:lineRule="auto"/>
        <w:ind w:left="1800" w:right="120"/>
        <w:jc w:val="both"/>
        <w:rPr>
          <w:rFonts w:ascii="Calibri" w:hAnsi="Calibri" w:cs="Calibri" w:eastAsia="Times New Roman"/>
          <w:color w:val="000000"/>
          <w:sz w:val="27"/>
        </w:rPr>
        <w:pStyle w:val="P68B1DB1-Normal2"/>
      </w:pPr>
      <w:r>
        <w:t xml:space="preserve">c) may not refer to corporate communication actions requested or approved by the Contracting Party, within the scope of its contracts; and</w:t>
      </w:r>
    </w:p>
    <w:p>
      <w:pPr>
        <w:spacing w:before="120" w:after="120" w:line="240" w:lineRule="auto"/>
        <w:ind w:left="1800" w:right="120"/>
        <w:jc w:val="both"/>
        <w:rPr>
          <w:rFonts w:ascii="Calibri" w:hAnsi="Calibri" w:cs="Calibri" w:eastAsia="Times New Roman"/>
          <w:color w:val="000000"/>
          <w:sz w:val="27"/>
        </w:rPr>
        <w:pStyle w:val="P68B1DB1-Normal2"/>
      </w:pPr>
      <w:r>
        <w:t xml:space="preserve">d) must be formally validated by the respective client, in order to certify its authenticity.</w:t>
      </w:r>
    </w:p>
    <w:p>
      <w:pPr>
        <w:spacing w:before="120" w:after="120" w:line="240" w:lineRule="auto"/>
        <w:ind w:left="120" w:right="120"/>
        <w:jc w:val="both"/>
        <w:rPr>
          <w:rFonts w:ascii="Calibri" w:hAnsi="Calibri" w:cs="Calibri" w:eastAsia="Times New Roman"/>
          <w:color w:val="000000"/>
          <w:sz w:val="27"/>
        </w:rPr>
        <w:pStyle w:val="P68B1DB1-Normal2"/>
      </w:pPr>
      <w:r>
        <w:t xml:space="preserve">The validation must be done in a document separate from the reports, which will not enter in the calculation of the page number referred to in subitem 16.6.2. The validation document shall include, in addition to the attestation of the reports, the contract number, the business name of the client, the name of the signatory, his/her position/function and his/her signature.</w:t>
      </w:r>
    </w:p>
    <w:p>
      <w:pPr>
        <w:spacing w:before="120" w:after="120" w:line="240" w:lineRule="auto"/>
        <w:ind w:left="120" w:right="120"/>
        <w:jc w:val="both"/>
        <w:rPr>
          <w:rFonts w:ascii="Calibri" w:hAnsi="Calibri" w:cs="Calibri" w:eastAsia="Times New Roman"/>
          <w:color w:val="000000"/>
          <w:sz w:val="27"/>
        </w:rPr>
        <w:pStyle w:val="P68B1DB1-Normal2"/>
      </w:pPr>
      <w:r>
        <w:t xml:space="preserve">The Reports of Corporate Communication Solutions referred to in sub-item 16.6.2 must have been implemented as of January 1, 2019.</w:t>
      </w:r>
    </w:p>
    <w:p>
      <w:pPr>
        <w:spacing w:before="120" w:after="120" w:line="240" w:lineRule="auto"/>
        <w:ind w:left="120" w:right="120"/>
        <w:jc w:val="both"/>
        <w:rPr>
          <w:rFonts w:ascii="Calibri" w:hAnsi="Calibri" w:cs="Calibri" w:eastAsia="Times New Roman"/>
          <w:color w:val="000000"/>
          <w:sz w:val="27"/>
        </w:rPr>
        <w:pStyle w:val="P68B1DB1-Normal2"/>
      </w:pPr>
      <w:r>
        <w:t xml:space="preserve">The inclusion of up to two (2) corporate communication actions and/or materials, regardless of their type or characteristic, is allowed in each report, observing the following rules for their presentation:</w:t>
      </w:r>
    </w:p>
    <w:p>
      <w:pPr>
        <w:spacing w:before="120" w:after="120" w:line="240" w:lineRule="auto"/>
        <w:ind w:left="1800" w:right="120"/>
        <w:jc w:val="both"/>
        <w:rPr>
          <w:rFonts w:ascii="Calibri" w:hAnsi="Calibri" w:cs="Calibri" w:eastAsia="Times New Roman"/>
          <w:color w:val="000000"/>
          <w:sz w:val="27"/>
        </w:rPr>
        <w:pStyle w:val="P68B1DB1-Normal2"/>
      </w:pPr>
      <w:r>
        <w:t>a)</w:t>
      </w:r>
      <w:r>
        <w:rPr>
          <w:u w:val="single"/>
        </w:rPr>
        <w:t xml:space="preserve"> in the digital version</w:t>
      </w:r>
      <w:r>
        <w:t xml:space="preserve">: must be provided on DVD, CD or </w:t>
      </w:r>
      <w:r>
        <w:rPr>
          <w:i/>
        </w:rPr>
        <w:t xml:space="preserve">pen drive</w:t>
      </w:r>
      <w:r>
        <w:t xml:space="preserve">, executable on the Windowsoperating system</w:t>
      </w:r>
      <w:r>
        <w:t xml:space="preserve">, and may integrate the specific notebook provided for in sub-item 16.6 or be presented loose;</w:t>
      </w:r>
    </w:p>
    <w:p>
      <w:pPr>
        <w:spacing w:before="120" w:after="120" w:line="240" w:lineRule="auto"/>
        <w:ind w:left="1800" w:right="120"/>
        <w:jc w:val="both"/>
        <w:rPr>
          <w:rFonts w:ascii="Calibri" w:hAnsi="Calibri" w:cs="Calibri" w:eastAsia="Times New Roman"/>
          <w:color w:val="000000"/>
          <w:sz w:val="27"/>
        </w:rPr>
        <w:pStyle w:val="P68B1DB1-Normal2"/>
      </w:pPr>
      <w:r>
        <w:t xml:space="preserve">b) </w:t>
      </w:r>
      <w:r>
        <w:rPr>
          <w:u w:val="single"/>
        </w:rPr>
        <w:t xml:space="preserve">in the printed version</w:t>
      </w:r>
      <w:r>
        <w:t xml:space="preserve">: may be included in the specific notebook provided for in sub-item 16.6, on A4 or A3 folded paper, or be presented loose, in any form, folded or not. In all cases, the ability to read texts and messages and their original dimensions must be preserved; and</w:t>
      </w:r>
    </w:p>
    <w:p>
      <w:pPr>
        <w:spacing w:before="120" w:after="120" w:line="240" w:lineRule="auto"/>
        <w:ind w:left="1800" w:right="120"/>
        <w:jc w:val="both"/>
        <w:rPr>
          <w:rFonts w:ascii="Calibri" w:hAnsi="Calibri" w:cs="Calibri" w:eastAsia="Times New Roman"/>
          <w:color w:val="000000"/>
          <w:sz w:val="27"/>
        </w:rPr>
        <w:pStyle w:val="P68B1DB1-Normal2"/>
      </w:pPr>
      <w:r>
        <w:t xml:space="preserve">c) for each action and/or corporate communication material, a technical file must be presented with a brief indication of the problem it proposed to solve.</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THE BUDGETARY RESOURCES</w:t>
      </w:r>
    </w:p>
    <w:p>
      <w:pPr>
        <w:spacing w:before="120" w:after="120" w:line="240" w:lineRule="auto"/>
        <w:ind w:left="120" w:right="120"/>
        <w:jc w:val="both"/>
        <w:rPr>
          <w:rFonts w:ascii="Calibri" w:hAnsi="Calibri" w:cs="Calibri" w:eastAsia="Times New Roman"/>
          <w:color w:val="000000"/>
          <w:sz w:val="27"/>
        </w:rPr>
        <w:pStyle w:val="P68B1DB1-Normal2"/>
      </w:pPr>
      <w:r>
        <w:t xml:space="preserve">Expenditures for this bidding are programmed in the budget foreseen in the budget of the Federal Government for the 2018 financial year, in the classification below:</w:t>
      </w:r>
    </w:p>
    <w:p>
      <w:pPr>
        <w:spacing w:before="120" w:after="120" w:line="240" w:lineRule="auto"/>
        <w:ind w:left="120" w:right="120"/>
        <w:jc w:val="both"/>
        <w:rPr>
          <w:rFonts w:ascii="Calibri" w:hAnsi="Calibri" w:cs="Calibri" w:eastAsia="Times New Roman"/>
          <w:color w:val="000000"/>
          <w:sz w:val="27"/>
        </w:rPr>
        <w:pStyle w:val="P68B1DB1-Normal2"/>
      </w:pPr>
      <w:r>
        <w:t xml:space="preserve">33903992 - Institutional Advertising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Body: 54000 – Ministry of Tourism - MTUR</w:t>
      </w:r>
    </w:p>
    <w:p>
      <w:pPr>
        <w:spacing w:before="120" w:after="120" w:line="240" w:lineRule="auto"/>
        <w:ind w:left="120" w:right="120"/>
        <w:jc w:val="both"/>
        <w:rPr>
          <w:rFonts w:ascii="Calibri" w:hAnsi="Calibri" w:cs="Calibri" w:eastAsia="Times New Roman"/>
          <w:color w:val="000000"/>
          <w:sz w:val="27"/>
        </w:rPr>
        <w:pStyle w:val="P68B1DB1-Normal2"/>
      </w:pPr>
      <w:r>
        <w:t xml:space="preserve">Management/Unit: EMBRATUR – Brazilian Agency for International Promotion of Tourism</w:t>
      </w:r>
    </w:p>
    <w:p>
      <w:pPr>
        <w:spacing w:before="120" w:after="120" w:line="240" w:lineRule="auto"/>
        <w:ind w:left="120" w:right="120"/>
        <w:jc w:val="both"/>
        <w:rPr>
          <w:rFonts w:ascii="Calibri" w:hAnsi="Calibri" w:cs="Calibri" w:eastAsia="Times New Roman"/>
          <w:color w:val="000000"/>
          <w:sz w:val="27"/>
        </w:rPr>
        <w:pStyle w:val="P68B1DB1-Normal2"/>
      </w:pPr>
      <w:r>
        <w:t xml:space="preserve">Function: 23 - Trade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Sub-function: 695 - Tourism</w:t>
      </w:r>
    </w:p>
    <w:p>
      <w:pPr>
        <w:spacing w:before="120" w:after="120" w:line="240" w:lineRule="auto"/>
        <w:ind w:left="120" w:right="120"/>
        <w:jc w:val="both"/>
        <w:rPr>
          <w:rFonts w:ascii="Calibri" w:hAnsi="Calibri" w:cs="Calibri" w:eastAsia="Times New Roman"/>
          <w:color w:val="000000"/>
          <w:sz w:val="27"/>
        </w:rPr>
        <w:pStyle w:val="P68B1DB1-Normal2"/>
      </w:pPr>
      <w:r>
        <w:t xml:space="preserve">Work Programme:  Development and Promotion of Tourism</w:t>
      </w:r>
    </w:p>
    <w:p>
      <w:pPr>
        <w:spacing w:before="120" w:after="120" w:line="240" w:lineRule="auto"/>
        <w:ind w:left="120" w:right="120"/>
        <w:jc w:val="both"/>
        <w:rPr>
          <w:rFonts w:ascii="Calibri" w:hAnsi="Calibri" w:cs="Calibri" w:eastAsia="Times New Roman"/>
          <w:color w:val="000000"/>
          <w:sz w:val="27"/>
        </w:rPr>
        <w:pStyle w:val="P68B1DB1-Normal2"/>
      </w:pPr>
      <w:r>
        <w:t xml:space="preserve">The value of the contract must follow the following sum:</w:t>
      </w:r>
    </w:p>
    <w:p>
      <w:pPr>
        <w:spacing w:before="120" w:after="120" w:line="240" w:lineRule="auto"/>
        <w:ind w:left="1800" w:right="120"/>
        <w:jc w:val="both"/>
        <w:rPr>
          <w:rFonts w:ascii="Calibri" w:hAnsi="Calibri" w:cs="Calibri" w:eastAsia="Times New Roman"/>
          <w:color w:val="000000"/>
          <w:sz w:val="27"/>
        </w:rPr>
        <w:pStyle w:val="P68B1DB1-Normal2"/>
      </w:pPr>
      <w:r>
        <w:t xml:space="preserve">Final value of essential services;</w:t>
      </w:r>
    </w:p>
    <w:p>
      <w:pPr>
        <w:spacing w:before="120" w:after="120" w:line="240" w:lineRule="auto"/>
        <w:ind w:left="1800" w:right="120"/>
        <w:jc w:val="both"/>
        <w:rPr>
          <w:rFonts w:ascii="Calibri" w:hAnsi="Calibri" w:cs="Calibri" w:eastAsia="Times New Roman"/>
          <w:color w:val="000000"/>
          <w:sz w:val="27"/>
        </w:rPr>
        <w:pStyle w:val="P68B1DB1-Normal2"/>
      </w:pPr>
      <w:r>
        <w:t xml:space="preserve">Essential Products and Services </w:t>
      </w:r>
      <w:r>
        <w:rPr>
          <w:u w:val="single"/>
        </w:rPr>
        <w:t>not</w:t>
      </w:r>
      <w:r>
        <w:t xml:space="preserve"> provided for in the catalog in </w:t>
      </w:r>
      <w:r>
        <w:rPr>
          <w:b/>
        </w:rPr>
        <w:t xml:space="preserve">Appendix I</w:t>
      </w:r>
      <w:r>
        <w:t xml:space="preserve">, equivalent to 50% (fifty percent) of item 17.2. a);</w:t>
      </w:r>
    </w:p>
    <w:p>
      <w:pPr>
        <w:spacing w:before="120" w:after="120" w:line="240" w:lineRule="auto"/>
        <w:ind w:left="1800" w:right="120"/>
        <w:jc w:val="both"/>
        <w:rPr>
          <w:rFonts w:ascii="Calibri" w:hAnsi="Calibri" w:cs="Calibri" w:eastAsia="Times New Roman"/>
          <w:color w:val="000000"/>
          <w:sz w:val="27"/>
        </w:rPr>
        <w:pStyle w:val="P68B1DB1-Normal2"/>
      </w:pPr>
      <w:r>
        <w:t xml:space="preserve">Expenses with travel of professionals on duty, equivalent to 25% (twenty-five percent) of item 17. 2. a); and</w:t>
      </w:r>
    </w:p>
    <w:p>
      <w:pPr>
        <w:spacing w:before="120" w:after="120" w:line="240" w:lineRule="auto"/>
        <w:ind w:left="1800" w:right="120"/>
        <w:jc w:val="both"/>
        <w:rPr>
          <w:rFonts w:ascii="Calibri" w:hAnsi="Calibri" w:cs="Calibri" w:eastAsia="Times New Roman"/>
          <w:color w:val="000000"/>
          <w:sz w:val="27"/>
        </w:rPr>
        <w:pStyle w:val="P68B1DB1-Normal2"/>
      </w:pPr>
      <w:r>
        <w:t xml:space="preserve">Complementary products and services and contractor's fees, equivalent to 50% (fifty percent) of item 17. 2. a).</w:t>
      </w:r>
    </w:p>
    <w:p>
      <w:pPr>
        <w:spacing w:before="120" w:after="120" w:line="240" w:lineRule="auto"/>
        <w:ind w:left="120" w:right="120"/>
        <w:jc w:val="both"/>
        <w:rPr>
          <w:rFonts w:ascii="Calibri" w:hAnsi="Calibri" w:cs="Calibri" w:eastAsia="Times New Roman"/>
          <w:color w:val="000000"/>
          <w:sz w:val="27"/>
        </w:rPr>
        <w:pStyle w:val="P68B1DB1-Normal2"/>
      </w:pPr>
      <w:r>
        <w:t xml:space="preserve">EMBRATUR reserves the right, in its judgment, to execute or not the entire contractual value.</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extension, EMBRATUR may renegotiate the prices practiced with the Contractor, as a result of this bidding process, based on price research, in order to obtain a greater advantage for the Administration, during the execution of the contract. </w:t>
      </w:r>
    </w:p>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RISK MATRIX</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event of one of the events listed in the Risk Matrix (item 18.9) of this Basic Project, the CONTRACTOR shall, within a period of up to 01 (one) business day, inform EMBRATUR about what happened, in a report containing the following minimum information:</w:t>
      </w:r>
    </w:p>
    <w:p>
      <w:pPr>
        <w:spacing w:before="120" w:after="120" w:line="240" w:lineRule="auto"/>
        <w:ind w:left="1800" w:right="120"/>
        <w:jc w:val="both"/>
        <w:rPr>
          <w:rFonts w:ascii="Calibri" w:hAnsi="Calibri" w:cs="Calibri" w:eastAsia="Times New Roman"/>
          <w:color w:val="000000"/>
          <w:sz w:val="27"/>
        </w:rPr>
        <w:pStyle w:val="P68B1DB1-Normal2"/>
      </w:pPr>
      <w:r>
        <w:t xml:space="preserve">a) Details of the event occurred, including its nature, the date of occurrence and its estimated duration;</w:t>
      </w:r>
    </w:p>
    <w:p>
      <w:pPr>
        <w:spacing w:before="120" w:after="120" w:line="240" w:lineRule="auto"/>
        <w:ind w:left="1800" w:right="120"/>
        <w:jc w:val="both"/>
        <w:rPr>
          <w:rFonts w:ascii="Calibri" w:hAnsi="Calibri" w:cs="Calibri" w:eastAsia="Times New Roman"/>
          <w:color w:val="000000"/>
          <w:sz w:val="27"/>
        </w:rPr>
        <w:pStyle w:val="P68B1DB1-Normal2"/>
      </w:pPr>
      <w:r>
        <w:t xml:space="preserve">b) The measures that were in place to mitigate the risk of materialization of the event, if any;</w:t>
      </w:r>
    </w:p>
    <w:p>
      <w:pPr>
        <w:spacing w:before="120" w:after="120" w:line="240" w:lineRule="auto"/>
        <w:ind w:left="1800" w:right="120"/>
        <w:jc w:val="both"/>
        <w:rPr>
          <w:rFonts w:ascii="Calibri" w:hAnsi="Calibri" w:cs="Calibri" w:eastAsia="Times New Roman"/>
          <w:color w:val="000000"/>
          <w:sz w:val="27"/>
        </w:rPr>
        <w:pStyle w:val="P68B1DB1-Normal2"/>
      </w:pPr>
      <w:r>
        <w:t xml:space="preserve">(c) the measures it will take to bring the effects of the event to an end and the estimated period for those effects to cease;</w:t>
      </w:r>
    </w:p>
    <w:p>
      <w:pPr>
        <w:spacing w:before="120" w:after="120" w:line="240" w:lineRule="auto"/>
        <w:ind w:left="1800" w:right="120"/>
        <w:jc w:val="both"/>
        <w:rPr>
          <w:rFonts w:ascii="Calibri" w:hAnsi="Calibri" w:cs="Calibri" w:eastAsia="Times New Roman"/>
          <w:color w:val="000000"/>
          <w:sz w:val="27"/>
        </w:rPr>
        <w:pStyle w:val="P68B1DB1-Normal2"/>
      </w:pPr>
      <w:r>
        <w:t xml:space="preserve">d) Contractual obligations that have not been fulfilled or that will not be fulfilled due to the event; and</w:t>
      </w:r>
    </w:p>
    <w:p>
      <w:pPr>
        <w:spacing w:before="120" w:after="120" w:line="240" w:lineRule="auto"/>
        <w:ind w:left="1800" w:right="120"/>
        <w:jc w:val="both"/>
        <w:rPr>
          <w:rFonts w:ascii="Calibri" w:hAnsi="Calibri" w:cs="Calibri" w:eastAsia="Times New Roman"/>
          <w:color w:val="000000"/>
          <w:sz w:val="27"/>
        </w:rPr>
        <w:pStyle w:val="P68B1DB1-Normal2"/>
      </w:pPr>
      <w:r>
        <w:t xml:space="preserve">e) Other relevant information.</w:t>
      </w:r>
    </w:p>
    <w:p>
      <w:pPr>
        <w:spacing w:before="120" w:after="120" w:line="240" w:lineRule="auto"/>
        <w:ind w:left="120" w:right="120"/>
        <w:jc w:val="both"/>
        <w:rPr>
          <w:rFonts w:ascii="Calibri" w:hAnsi="Calibri" w:cs="Calibri" w:eastAsia="Times New Roman"/>
          <w:color w:val="000000"/>
          <w:sz w:val="27"/>
        </w:rPr>
        <w:pStyle w:val="P68B1DB1-Normal2"/>
      </w:pPr>
      <w:r>
        <w:t xml:space="preserve">After notification, EMBRATUR will decide on what happened or may request additional clarification from the CONTRACTOR. In its decision, EMBRATUR may temporarily exempt the CONTRACTOR from complying with the contractual obligations affected by the Event.</w:t>
      </w:r>
    </w:p>
    <w:p>
      <w:pPr>
        <w:spacing w:before="120" w:after="120" w:line="240" w:lineRule="auto"/>
        <w:ind w:left="120" w:right="120"/>
        <w:jc w:val="both"/>
        <w:rPr>
          <w:rFonts w:ascii="Calibri" w:hAnsi="Calibri" w:cs="Calibri" w:eastAsia="Times New Roman"/>
          <w:color w:val="000000"/>
          <w:sz w:val="27"/>
        </w:rPr>
        <w:pStyle w:val="P68B1DB1-Normal2"/>
      </w:pPr>
      <w:r>
        <w:t xml:space="preserve">The granting of an exemption does not exclude the possibility of imposing sanctions.</w:t>
      </w:r>
    </w:p>
    <w:p>
      <w:pPr>
        <w:spacing w:before="120" w:after="120" w:line="240" w:lineRule="auto"/>
        <w:ind w:left="120" w:right="120"/>
        <w:jc w:val="both"/>
        <w:rPr>
          <w:rFonts w:ascii="Calibri" w:hAnsi="Calibri" w:cs="Calibri" w:eastAsia="Times New Roman"/>
          <w:color w:val="000000"/>
          <w:sz w:val="27"/>
        </w:rPr>
        <w:pStyle w:val="P68B1DB1-Normal2"/>
      </w:pPr>
      <w:r>
        <w:t xml:space="preserve">The recognition by EMBRATUR of the events described in the Risk Matrix (item 18.9) of this Basic Project that affect the fulfillment of contractual obligations, with responsibility indicated exclusively to the Contractor, </w:t>
      </w:r>
      <w:r>
        <w:rPr>
          <w:u w:val="single"/>
        </w:rPr>
        <w:t xml:space="preserve">will not give rise to the restoration of the economic and financial balance of the Contract</w:t>
      </w:r>
      <w:r>
        <w:t xml:space="preserve">, and the risk must be borne exclusively by the Contractor.</w:t>
      </w:r>
    </w:p>
    <w:p>
      <w:pPr>
        <w:spacing w:before="120" w:after="120" w:line="240" w:lineRule="auto"/>
        <w:ind w:left="120" w:right="120"/>
        <w:jc w:val="both"/>
        <w:rPr>
          <w:rFonts w:ascii="Calibri" w:hAnsi="Calibri" w:cs="Calibri" w:eastAsia="Times New Roman"/>
          <w:color w:val="000000"/>
          <w:sz w:val="27"/>
        </w:rPr>
        <w:pStyle w:val="P68B1DB1-Normal2"/>
      </w:pPr>
      <w:r>
        <w:t xml:space="preserve">The unpredictable or foreseeable facts, but of incalculable consequences, delaying or impeding the execution of the contract, not provided for in the Risk Matrix (item 18.9), will be decided by agreement between the parties, with regard to the restoration of the economic and financial balance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 may be terminated when it is demonstrated that all measures to remedy the effects have been taken and even so the maintenance of the contract becomes impossible or unfeasible under the existing conditions or is excessively costly.</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is authorized to provide services indicated in this Term with higher quality due to methodological or technological innovations.</w:t>
      </w:r>
    </w:p>
    <w:p>
      <w:pPr>
        <w:spacing w:before="120" w:after="120" w:line="240" w:lineRule="auto"/>
        <w:ind w:left="120" w:right="120"/>
        <w:jc w:val="both"/>
        <w:rPr>
          <w:rFonts w:ascii="Calibri" w:hAnsi="Calibri" w:cs="Calibri" w:eastAsia="Times New Roman"/>
          <w:color w:val="000000"/>
          <w:sz w:val="27"/>
        </w:rPr>
        <w:pStyle w:val="P68B1DB1-Normal2"/>
      </w:pPr>
      <w:r>
        <w:t xml:space="preserve">The CONTRACTOR cannot innovate in the execution model and in its contractual responsibilities.</w:t>
      </w:r>
    </w:p>
    <w:p>
      <w:pPr>
        <w:spacing w:before="120" w:after="120" w:line="240" w:lineRule="auto"/>
        <w:ind w:left="120" w:right="120"/>
        <w:jc w:val="both"/>
        <w:rPr>
          <w:rFonts w:ascii="Calibri" w:hAnsi="Calibri" w:cs="Calibri" w:eastAsia="Times New Roman"/>
          <w:color w:val="000000"/>
          <w:sz w:val="27"/>
        </w:rPr>
        <w:pStyle w:val="P68B1DB1-Normal2"/>
      </w:pPr>
      <w:r>
        <w:t xml:space="preserve">Risk Matrix:</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15"/>
        <w:gridCol w:w="2016"/>
        <w:gridCol w:w="2029"/>
        <w:gridCol w:w="2028"/>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Supervening Events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Mitigating Actions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CONTRACTOR's Liability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 EMBRATUR Liability</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Interruption of services due to strike or temporary interruption of services.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Check with the Contractor the period of the collective bargaining agreement of the category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Delivery of the service in disagreement with EMBRATUR's demand.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receive the service performed and Improve the quality of communication.</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pass on to EMBRATUR all advantages/discounts obtained in negotiations arising from subcontracting.</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Request documents with the negotiation of the Contractor and the third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Non-negotiation of the best price conditions with specialized suppliers, when contracting Complementary Products and Services.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Use the price base of suppliers registered in official systems.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Price quotation for the supply of goods or specialized services to suppliers in which the same partner or shareholder participates in more than one supplier in the same quotation procedure; and that any manager or employee of the Contractor has a shareholding or commercial or kinship relationship up to the third degree.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Use the price base of suppliers registered in official systems.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Absence of zeal for the unrestricted and total confidentiality of any data provided to it as a result of the contractual execution, especially regarding EMBRATUR's performance strategy.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Adopt information security policy within the framework of the execution of the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Losses and damages to EMBRATUR due to delay, omission or error in the conduct of the services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Inform EMBRATUR in a timely manner about the conduct of the services and the compensatory actions to be taken</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X</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bl>
    <w:p>
      <w:pPr>
        <w:shd w:val="clear" w:color="auto" w:fill="E6E6E6"/>
        <w:spacing w:before="120" w:after="120" w:line="240" w:lineRule="auto"/>
        <w:ind w:left="120" w:right="120"/>
        <w:jc w:val="both"/>
        <w:rPr>
          <w:rFonts w:ascii="Calibri" w:hAnsi="Calibri" w:cs="Calibri" w:eastAsia="Times New Roman"/>
          <w:b/>
          <w:caps/>
          <w:color w:val="000000"/>
          <w:sz w:val="27"/>
        </w:rPr>
        <w:pStyle w:val="P68B1DB1-Normal3"/>
      </w:pPr>
      <w:r>
        <w:t xml:space="preserve">SPECIAL BIDDING COMMITTEE AND TECHNICAL SUBCOMMITTEE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This competition will be processed and judged by the Special Bidding Committee (CEL), with the exception of the analysis and judgment of the Technical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The Technical Proposals will be analyzed and judged by a Technical Subcommittee, consisting of 03 (Three) members with academic background or professional experience in areas related to the object of this competition.</w:t>
      </w:r>
    </w:p>
    <w:p>
      <w:pPr>
        <w:spacing w:before="120" w:after="120" w:line="240" w:lineRule="auto"/>
        <w:ind w:left="120" w:right="120"/>
        <w:jc w:val="both"/>
        <w:rPr>
          <w:rFonts w:ascii="Calibri" w:hAnsi="Calibri" w:cs="Calibri" w:eastAsia="Times New Roman"/>
          <w:color w:val="000000"/>
          <w:sz w:val="27"/>
        </w:rPr>
        <w:pStyle w:val="P68B1DB1-Normal2"/>
      </w:pPr>
      <w:r>
        <w:t xml:space="preserve">In the composition of the Technical Subcommittee, at least 1/3 (one third) of the members will not have a functional or contractual relationship with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The choice of the members of the Technical Subcommittee will be made by lot, in a public session, among the names of a relationship that will have 06 (six) members </w:t>
      </w:r>
      <w:r>
        <w:rPr>
          <w:u w:val="single"/>
        </w:rPr>
        <w:t xml:space="preserve">with a link</w:t>
      </w:r>
      <w:r>
        <w:t xml:space="preserve"> with EMBRATUR and 03 (three) </w:t>
      </w:r>
      <w:r>
        <w:rPr>
          <w:u w:val="single"/>
        </w:rPr>
        <w:t xml:space="preserve">without a link</w:t>
      </w:r>
      <w:r>
        <w:t xml:space="preserve">, previously registered.</w:t>
      </w:r>
    </w:p>
    <w:p>
      <w:pPr>
        <w:spacing w:before="120" w:after="120" w:line="240" w:lineRule="auto"/>
        <w:ind w:left="120" w:right="120"/>
        <w:jc w:val="both"/>
        <w:rPr>
          <w:rFonts w:ascii="Calibri" w:hAnsi="Calibri" w:cs="Calibri" w:eastAsia="Times New Roman"/>
          <w:color w:val="000000"/>
          <w:sz w:val="27"/>
        </w:rPr>
        <w:pStyle w:val="P68B1DB1-Normal2"/>
      </w:pPr>
      <w:r>
        <w:t xml:space="preserve">The remaining names of the list after the draw of the 03 (three) members of the Technical Subcommittee will all be drawn to define a replacement order, to be called in cases of impossibility of participation of any of the holders.</w:t>
      </w:r>
    </w:p>
    <w:p>
      <w:pPr>
        <w:spacing w:before="120" w:after="120" w:line="240" w:lineRule="auto"/>
        <w:ind w:left="120" w:right="120"/>
        <w:jc w:val="both"/>
        <w:rPr>
          <w:rFonts w:ascii="Calibri" w:hAnsi="Calibri" w:cs="Calibri" w:eastAsia="Times New Roman"/>
          <w:color w:val="000000"/>
          <w:sz w:val="27"/>
        </w:rPr>
        <w:pStyle w:val="P68B1DB1-Normal2"/>
      </w:pPr>
      <w:r>
        <w:t xml:space="preserve">In order to compose the list provided for in sub-item 19.3, the Special Bidding Committee must request proof of the qualification requirements, provided for in sub-item 19.2, of the possible members of the Technical Subcommittee.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The list of names referred to in sub-item 19.3 will be published by the Special Bidding Commission on the EMBRATU R website and an extract will be published in the Federal Official Gazette, within a period of not less than 10 (ten) days from the date on which the public session scheduled for the draw will be held.</w:t>
      </w:r>
    </w:p>
    <w:p>
      <w:pPr>
        <w:spacing w:before="120" w:after="120" w:line="240" w:lineRule="auto"/>
        <w:ind w:left="120" w:right="120"/>
        <w:jc w:val="both"/>
        <w:rPr>
          <w:rFonts w:ascii="Calibri" w:hAnsi="Calibri" w:cs="Calibri" w:eastAsia="Times New Roman"/>
          <w:color w:val="000000"/>
          <w:sz w:val="27"/>
        </w:rPr>
        <w:pStyle w:val="P68B1DB1-Normal2"/>
      </w:pPr>
      <w:r>
        <w:t xml:space="preserve">The draw will be processed by the Special Bidding Committee in order to ensure the filling of the vacancies of the Technical Subcommittee, according to the proportionality of the number of members who maintain or not bond with EMBRATUR, pursuant to sub-item 19.3 of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Up to 48 (forty-eight) hours before the public session intended for the draw, any interested party may challenge a person who is part of the list referred to in sub-item 19.3, by submitting to the Special Bidding Committee a justification for the exclusion.</w:t>
      </w:r>
    </w:p>
    <w:p>
      <w:pPr>
        <w:spacing w:before="120" w:after="120" w:line="240" w:lineRule="auto"/>
        <w:ind w:left="120" w:right="120"/>
        <w:jc w:val="both"/>
        <w:rPr>
          <w:rFonts w:ascii="Calibri" w:hAnsi="Calibri" w:cs="Calibri" w:eastAsia="Times New Roman"/>
          <w:color w:val="000000"/>
          <w:sz w:val="27"/>
        </w:rPr>
        <w:pStyle w:val="P68B1DB1-Normal2"/>
      </w:pPr>
      <w:r>
        <w:t xml:space="preserve">Once the challenge is admitted, the challenged will have the right to refrain from acting in the Technical Subcommittee, declaring himself prevented or suspected, before the decision of the competent authority.</w:t>
      </w:r>
    </w:p>
    <w:p>
      <w:pPr>
        <w:spacing w:before="120" w:after="120" w:line="240" w:lineRule="auto"/>
        <w:ind w:left="120" w:right="120"/>
        <w:jc w:val="both"/>
        <w:rPr>
          <w:rFonts w:ascii="Calibri" w:hAnsi="Calibri" w:cs="Calibri" w:eastAsia="Times New Roman"/>
          <w:color w:val="000000"/>
          <w:sz w:val="27"/>
        </w:rPr>
        <w:pStyle w:val="P68B1DB1-Normal2"/>
      </w:pPr>
      <w:r>
        <w:t xml:space="preserve">The abstention of the challenged or the acceptance of the challenge, by reasoned decision of the competent authority, will imply, if necessary, the preparation and publication of a new list, without the name(s) challenged, subject to the provisions of this item.</w:t>
      </w:r>
    </w:p>
    <w:p>
      <w:pPr>
        <w:spacing w:before="120" w:after="120" w:line="240" w:lineRule="auto"/>
        <w:ind w:left="120" w:right="120"/>
        <w:jc w:val="both"/>
        <w:rPr>
          <w:rFonts w:ascii="Calibri" w:hAnsi="Calibri" w:cs="Calibri" w:eastAsia="Times New Roman"/>
          <w:color w:val="000000"/>
          <w:sz w:val="27"/>
        </w:rPr>
        <w:pStyle w:val="P68B1DB1-Normal2"/>
      </w:pPr>
      <w:r>
        <w:t xml:space="preserve">It will be necessary to publish a new list if the number of members maintained after the challenge remains lower than the amount provided for in sub-item 19.3 of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A new challenge will only be allowed to the name that completes the list previously published.</w:t>
      </w:r>
    </w:p>
    <w:p>
      <w:pPr>
        <w:spacing w:before="120" w:after="120" w:line="240" w:lineRule="auto"/>
        <w:ind w:left="120" w:right="120"/>
        <w:jc w:val="both"/>
        <w:rPr>
          <w:rFonts w:ascii="Calibri" w:hAnsi="Calibri" w:cs="Calibri" w:eastAsia="Times New Roman"/>
          <w:color w:val="000000"/>
          <w:sz w:val="27"/>
        </w:rPr>
        <w:pStyle w:val="P68B1DB1-Normal2"/>
      </w:pPr>
      <w:r>
        <w:t xml:space="preserve">The public session for the draw will be held after the reasoned decision of the challenge, on a previously designated date, ensuring compliance with the minimum period provided for in sub-item 19.3.2 and the possibility of inspection of the draw by any interested party.</w:t>
      </w:r>
    </w:p>
    <w:p>
      <w:pPr>
        <w:spacing w:before="120" w:after="120" w:line="240" w:lineRule="auto"/>
        <w:ind w:left="120" w:right="120"/>
        <w:jc w:val="both"/>
        <w:rPr>
          <w:rFonts w:ascii="Calibri" w:hAnsi="Calibri" w:cs="Calibri" w:eastAsia="Times New Roman"/>
          <w:color w:val="000000"/>
          <w:sz w:val="27"/>
        </w:rPr>
        <w:pStyle w:val="P68B1DB1-Normal2"/>
      </w:pPr>
      <w:r>
        <w:t xml:space="preserve">The Special Bidding Committee and the Technical Subcommittee shall ensure that the interpretation and application of the rules established in this Basic Project seek to achieve the purposes of the bidding and, as the case may be, may reveal purely formal aspects in the Qualification Documents and in the Bidders' Proposals, provided that they do not compromise the fairness and competitive character of this bidding process and contribute to ensure the contracting of the most advantageous bid.</w:t>
      </w:r>
    </w:p>
    <w:p>
      <w:pPr>
        <w:spacing w:before="120" w:after="120" w:line="240" w:lineRule="auto"/>
        <w:ind w:left="120" w:right="120"/>
        <w:jc w:val="both"/>
        <w:rPr>
          <w:rFonts w:ascii="Calibri" w:hAnsi="Calibri" w:cs="Calibri" w:eastAsia="Times New Roman"/>
          <w:color w:val="000000"/>
          <w:sz w:val="27"/>
        </w:rPr>
        <w:pStyle w:val="P68B1DB1-Normal2"/>
      </w:pPr>
      <w:r>
        <w:t xml:space="preserve">The members of the Special Bidding Committee and the Technical Subcommittee will sign a Term of Responsibility, which will be in the records of the bidding process, observing the respective models:</w:t>
      </w:r>
    </w:p>
    <w:p>
      <w:pPr>
        <w:spacing w:before="120" w:after="120" w:line="240" w:lineRule="auto"/>
        <w:ind w:left="120" w:right="120"/>
        <w:jc w:val="center"/>
        <w:rPr>
          <w:rFonts w:ascii="Calibri" w:hAnsi="Calibri" w:cs="Calibri" w:eastAsia="Times New Roman"/>
          <w:color w:val="000000"/>
          <w:sz w:val="27"/>
        </w:rPr>
        <w:pStyle w:val="P68B1DB1-Normal8"/>
      </w:pPr>
      <w:r>
        <w:t xml:space="preserve">SPECIAL BIDDING COMMITTEE</w:t>
      </w:r>
    </w:p>
    <w:p>
      <w:pPr>
        <w:spacing w:before="120" w:after="120" w:line="240" w:lineRule="auto"/>
        <w:ind w:left="120" w:right="120"/>
        <w:jc w:val="center"/>
        <w:rPr>
          <w:rFonts w:ascii="Calibri" w:hAnsi="Calibri" w:cs="Calibri" w:eastAsia="Times New Roman"/>
          <w:color w:val="000000"/>
          <w:sz w:val="27"/>
        </w:rPr>
        <w:pStyle w:val="P68B1DB1-Normal9"/>
      </w:pPr>
      <w:r>
        <w:t xml:space="preserve">STATEMENT OF RESPONSIBILITY</w:t>
      </w:r>
    </w:p>
    <w:p>
      <w:pPr>
        <w:numPr>
          <w:ilvl w:val="0"/>
          <w:numId w:val="8"/>
        </w:numPr>
        <w:spacing w:before="120" w:after="120" w:line="240" w:lineRule="auto"/>
        <w:ind w:left="840" w:right="120" w:firstLine="0"/>
        <w:jc w:val="both"/>
        <w:rPr>
          <w:rFonts w:ascii="Calibri" w:hAnsi="Calibri" w:cs="Calibri" w:eastAsia="Times New Roman"/>
          <w:color w:val="000000"/>
          <w:sz w:val="24"/>
        </w:rPr>
        <w:pStyle w:val="P68B1DB1-Normal4"/>
      </w:pPr>
      <w:r>
        <w:t xml:space="preserve">I,............................................................, Enrollment No..................................... Allotted ..............................., in the .............................................., member of the Special Bidding Committee responsible for the processing of this bidding process - Bidding No. ........................./............... carried out by(a) ..........................................................., for the hiring of a company specialized in the provision of corporate communication services, I undertake to maintain secrecy and confidentiality with respect to any information related to this event, especially those linked to the Qualification and presentation and judgment stages of the Bidders' Technical Proposals and Prices, until their disclosure and/or publication in the official press.</w:t>
      </w:r>
    </w:p>
    <w:p>
      <w:pPr>
        <w:numPr>
          <w:ilvl w:val="0"/>
          <w:numId w:val="8"/>
        </w:numPr>
        <w:spacing w:before="120" w:after="120" w:line="240" w:lineRule="auto"/>
        <w:ind w:left="840" w:right="120" w:firstLine="0"/>
        <w:jc w:val="both"/>
        <w:rPr>
          <w:rFonts w:ascii="Calibri" w:hAnsi="Calibri" w:cs="Calibri" w:eastAsia="Times New Roman"/>
          <w:color w:val="000000"/>
          <w:sz w:val="24"/>
        </w:rPr>
        <w:pStyle w:val="P68B1DB1-Normal4"/>
      </w:pPr>
      <w:r>
        <w:t xml:space="preserve">I further undertake to:</w:t>
      </w:r>
    </w:p>
    <w:p>
      <w:pPr>
        <w:spacing w:before="120" w:after="120" w:line="240" w:lineRule="auto"/>
        <w:ind w:left="120" w:right="120"/>
        <w:jc w:val="both"/>
        <w:rPr>
          <w:rFonts w:ascii="Calibri" w:hAnsi="Calibri" w:cs="Calibri" w:eastAsia="Times New Roman"/>
          <w:color w:val="000000"/>
          <w:sz w:val="27"/>
        </w:rPr>
        <w:pStyle w:val="P68B1DB1-Normal2"/>
      </w:pPr>
      <w:r>
        <w:t xml:space="preserve">I – NOT to disclose or make use of inside information, for their own benefit or that of third parties, obtained due to the activities carried out in this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II – NOT to exercise an activity that implies the provision of services or the maintenance of a business relationship with an individual or legal entity that has an interest in the Competition under discussion;</w:t>
      </w:r>
    </w:p>
    <w:p>
      <w:pPr>
        <w:spacing w:before="120" w:after="120" w:line="240" w:lineRule="auto"/>
        <w:ind w:left="120" w:right="120"/>
        <w:jc w:val="both"/>
        <w:rPr>
          <w:rFonts w:ascii="Calibri" w:hAnsi="Calibri" w:cs="Calibri" w:eastAsia="Times New Roman"/>
          <w:color w:val="000000"/>
          <w:sz w:val="27"/>
        </w:rPr>
        <w:pStyle w:val="P68B1DB1-Normal2"/>
      </w:pPr>
      <w:r>
        <w:t xml:space="preserve">III – NOT to exercise, directly or indirectly, an activity that, due to its nature, is incompatible with the duties of the Special Bidding Committee that I now occupy;</w:t>
      </w:r>
    </w:p>
    <w:p>
      <w:pPr>
        <w:spacing w:before="120" w:after="120" w:line="240" w:lineRule="auto"/>
        <w:ind w:left="120" w:right="120"/>
        <w:jc w:val="both"/>
        <w:rPr>
          <w:rFonts w:ascii="Calibri" w:hAnsi="Calibri" w:cs="Calibri" w:eastAsia="Times New Roman"/>
          <w:color w:val="000000"/>
          <w:sz w:val="27"/>
        </w:rPr>
        <w:pStyle w:val="P68B1DB1-Normal2"/>
      </w:pPr>
      <w:r>
        <w:t xml:space="preserve">IV – NOT to act, even if informally, as an attorney, consultant, advisor or intermediary of private interests, related to the object of the Competition;</w:t>
      </w:r>
    </w:p>
    <w:p>
      <w:pPr>
        <w:spacing w:before="120" w:after="120" w:line="240" w:lineRule="auto"/>
        <w:ind w:left="120" w:right="120"/>
        <w:jc w:val="both"/>
        <w:rPr>
          <w:rFonts w:ascii="Calibri" w:hAnsi="Calibri" w:cs="Calibri" w:eastAsia="Times New Roman"/>
          <w:color w:val="000000"/>
          <w:sz w:val="27"/>
        </w:rPr>
        <w:pStyle w:val="P68B1DB1-Normal2"/>
      </w:pPr>
      <w:r>
        <w:t xml:space="preserve">V – NOT to perform an act for the benefit of a legal entity in which I participate or even my spouse, partner or relatives, consanguineous or similar, in a straight or collateral line, up to the third degree, and which may be benefited by me or influence my acts in this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VI – DO NOT receive a gift from anyone who has an interest in my decision as a member of this Special Bidding Committee, outside the limits and conditions established in the regulation; and</w:t>
      </w:r>
    </w:p>
    <w:p>
      <w:pPr>
        <w:spacing w:before="120" w:after="120" w:line="240" w:lineRule="auto"/>
        <w:ind w:left="120" w:right="120"/>
        <w:jc w:val="both"/>
        <w:rPr>
          <w:rFonts w:ascii="Calibri" w:hAnsi="Calibri" w:cs="Calibri" w:eastAsia="Times New Roman"/>
          <w:color w:val="000000"/>
          <w:sz w:val="27"/>
        </w:rPr>
        <w:pStyle w:val="P68B1DB1-Normal2"/>
      </w:pPr>
      <w:r>
        <w:t xml:space="preserve">VII – DO NOT provide services, even if occasional, to the communication company whose activity is contracted by the entity responsible for this contract.</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 xml:space="preserve">Date: _____ of ______________of _______</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______________________________________</w:t>
      </w:r>
    </w:p>
    <w:p>
      <w:pPr>
        <w:spacing w:before="120" w:after="120" w:line="240" w:lineRule="auto"/>
        <w:ind w:left="120" w:right="120"/>
        <w:jc w:val="center"/>
        <w:rPr>
          <w:rFonts w:ascii="Calibri" w:hAnsi="Calibri" w:cs="Calibri" w:eastAsia="Times New Roman"/>
          <w:color w:val="000000"/>
          <w:sz w:val="27"/>
        </w:rPr>
        <w:pStyle w:val="P68B1DB1-Normal2"/>
      </w:pPr>
      <w:r>
        <w:t xml:space="preserve">Server Signature</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8"/>
      </w:pPr>
      <w:r>
        <w:t xml:space="preserve">TECHNICAL SUBCOMMITTEE</w:t>
      </w:r>
    </w:p>
    <w:p>
      <w:pPr>
        <w:spacing w:before="120" w:after="120" w:line="240" w:lineRule="auto"/>
        <w:ind w:left="120" w:right="120"/>
        <w:jc w:val="center"/>
        <w:rPr>
          <w:rFonts w:ascii="Calibri" w:hAnsi="Calibri" w:cs="Calibri" w:eastAsia="Times New Roman"/>
          <w:color w:val="000000"/>
          <w:sz w:val="27"/>
        </w:rPr>
        <w:pStyle w:val="P68B1DB1-Normal9"/>
      </w:pPr>
      <w:r>
        <w:t xml:space="preserve">GENERAL GUIDELINES</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This competition for contracting corporate communication services is processed and judged by the Special Bidding Committee, with the exception of the analysis and judgment of the Technical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The Technical Subcommittee will analyze the proposals and information presented in Casings No. 1 (Corporate Communication Plan – Unidentified Way) and No. 3 (Service Capacity and Reports of Corporate Communication Solutions) for the judgment of the Bidders' Technical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The Technical Subcommittee has full autonomy in the scoring of technical proposals, observing the provisions established in the Notice, and is not subject to any authority, interference or influence of the contracting or origin agency/entity, nor of the Special Bidding Committee, in matters related to technical judgment.</w:t>
      </w:r>
    </w:p>
    <w:p>
      <w:pPr>
        <w:spacing w:before="120" w:after="120" w:line="240" w:lineRule="auto"/>
        <w:ind w:left="120" w:right="120"/>
        <w:jc w:val="both"/>
        <w:rPr>
          <w:rFonts w:ascii="Calibri" w:hAnsi="Calibri" w:cs="Calibri" w:eastAsia="Times New Roman"/>
          <w:color w:val="000000"/>
          <w:sz w:val="27"/>
        </w:rPr>
        <w:pStyle w:val="P68B1DB1-Normal2"/>
      </w:pPr>
      <w:r>
        <w:t xml:space="preserve">All members of the Technical Subcommittee participate equally, with the same power of decision and expression, regardless of the position/function held in the contracting or origin body/entity.</w:t>
      </w:r>
    </w:p>
    <w:p>
      <w:pPr>
        <w:spacing w:before="120" w:after="120" w:line="240" w:lineRule="auto"/>
        <w:ind w:left="120" w:right="120"/>
        <w:jc w:val="both"/>
        <w:rPr>
          <w:rFonts w:ascii="Calibri" w:hAnsi="Calibri" w:cs="Calibri" w:eastAsia="Times New Roman"/>
          <w:color w:val="000000"/>
          <w:sz w:val="27"/>
        </w:rPr>
        <w:pStyle w:val="P68B1DB1-Normal2"/>
      </w:pPr>
      <w:r>
        <w:t xml:space="preserve">The score of each proposal will reflect its degree of adequacy to the requirements of this Notice, resulting from the direct comparison between the proposals in each item or sub-question.</w:t>
      </w:r>
    </w:p>
    <w:p>
      <w:pPr>
        <w:spacing w:before="120" w:after="120" w:line="240" w:lineRule="auto"/>
        <w:ind w:left="120" w:right="120"/>
        <w:jc w:val="both"/>
        <w:rPr>
          <w:rFonts w:ascii="Calibri" w:hAnsi="Calibri" w:cs="Calibri" w:eastAsia="Times New Roman"/>
          <w:color w:val="000000"/>
          <w:sz w:val="27"/>
        </w:rPr>
        <w:pStyle w:val="P68B1DB1-Normal2"/>
      </w:pPr>
      <w:r>
        <w:t xml:space="preserve">The proposal(s) that demonstrate greater adequacy to the Bid Notice, in each item or sub-question, will receive the highest score, up to the maximum allowed. The other proposals will receive lower scores, corresponding to the degree of adequacy of each one to the Notice, with reference to the proposal(s) that demonstrated greater adequacy to the Notice.</w:t>
      </w:r>
    </w:p>
    <w:p>
      <w:pPr>
        <w:spacing w:before="120" w:after="120" w:line="240" w:lineRule="auto"/>
        <w:ind w:left="120" w:right="120"/>
        <w:jc w:val="both"/>
        <w:rPr>
          <w:rFonts w:ascii="Calibri" w:hAnsi="Calibri" w:cs="Calibri" w:eastAsia="Times New Roman"/>
          <w:color w:val="000000"/>
          <w:sz w:val="27"/>
        </w:rPr>
        <w:pStyle w:val="P68B1DB1-Normal2"/>
      </w:pPr>
      <w:r>
        <w:t xml:space="preserve">All information related to the Technical Proposals and their judgment is strictly confidential and must not be disclosed by the members of the Technical Subcommittee, externally or internally in the contracting or origin agency/entity, before the publication in the official press of the result of the technical judgment, by the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9"/>
      </w:pPr>
      <w:r>
        <w:t xml:space="preserve">STATEMENT OF RESPONSIBILITY</w:t>
      </w:r>
    </w:p>
    <w:p>
      <w:pPr>
        <w:spacing w:before="120" w:after="120" w:line="240" w:lineRule="auto"/>
        <w:ind w:left="120" w:right="120"/>
        <w:jc w:val="both"/>
        <w:rPr>
          <w:rFonts w:ascii="Calibri" w:hAnsi="Calibri" w:cs="Calibri" w:eastAsia="Times New Roman"/>
          <w:color w:val="000000"/>
          <w:sz w:val="27"/>
        </w:rPr>
        <w:pStyle w:val="P68B1DB1-Normal2"/>
      </w:pPr>
      <w:r>
        <w:t xml:space="preserve">1. I, ........................................................., Enrollment No. ..............................., linked to the .............................................................................., member of the Technical Subcommittee responsible for the technical judgment of this Competition process carried out by(a) ......................................................, for the hiring of a company specialized in the provision of corporate communication services, undertake to maintain secrecy and confidentiality, with respect to the Technical Proposals submitted by the bidders participating in this bidding process and the information related to their judgment and scores attributed to the analyzed questions and sub-questions.</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I further undertake to:</w:t>
      </w:r>
    </w:p>
    <w:p>
      <w:pPr>
        <w:spacing w:before="120" w:after="120" w:line="240" w:lineRule="auto"/>
        <w:ind w:left="120" w:right="120"/>
        <w:jc w:val="both"/>
        <w:rPr>
          <w:rFonts w:ascii="Calibri" w:hAnsi="Calibri" w:cs="Calibri" w:eastAsia="Times New Roman"/>
          <w:color w:val="000000"/>
          <w:sz w:val="27"/>
        </w:rPr>
        <w:pStyle w:val="P68B1DB1-Normal2"/>
      </w:pPr>
      <w:r>
        <w:t xml:space="preserve">I – NOT to disclose or make use of inside information, for their own benefit or that of third parties, obtained due to the activities carried out in this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II – NOT to exercise an activity that implies the provision of services or the maintenance of a business relationship with an individual or legal entity that has an interest in the Competition under discussion;</w:t>
      </w:r>
    </w:p>
    <w:p>
      <w:pPr>
        <w:spacing w:before="120" w:after="120" w:line="240" w:lineRule="auto"/>
        <w:ind w:left="120" w:right="120"/>
        <w:jc w:val="both"/>
        <w:rPr>
          <w:rFonts w:ascii="Calibri" w:hAnsi="Calibri" w:cs="Calibri" w:eastAsia="Times New Roman"/>
          <w:color w:val="000000"/>
          <w:sz w:val="27"/>
        </w:rPr>
        <w:pStyle w:val="P68B1DB1-Normal2"/>
      </w:pPr>
      <w:r>
        <w:t xml:space="preserve">III – NOT to exercise, directly or indirectly, an activity that, due to its nature, is incompatible with the duties of the Technical Subcommittee that I now occupy for the analysis and judgment of the Technical Proposals of the Competition in question;</w:t>
      </w:r>
    </w:p>
    <w:p>
      <w:pPr>
        <w:spacing w:before="120" w:after="120" w:line="240" w:lineRule="auto"/>
        <w:ind w:left="120" w:right="120"/>
        <w:jc w:val="both"/>
        <w:rPr>
          <w:rFonts w:ascii="Calibri" w:hAnsi="Calibri" w:cs="Calibri" w:eastAsia="Times New Roman"/>
          <w:color w:val="000000"/>
          <w:sz w:val="27"/>
        </w:rPr>
        <w:pStyle w:val="P68B1DB1-Normal2"/>
      </w:pPr>
      <w:r>
        <w:t xml:space="preserve">IV – NOT to act, even if informally, as an attorney, consultant, advisor or intermediary of private interests, related to the object of the Competition;</w:t>
      </w:r>
    </w:p>
    <w:p>
      <w:pPr>
        <w:spacing w:before="120" w:after="120" w:line="240" w:lineRule="auto"/>
        <w:ind w:left="120" w:right="120"/>
        <w:jc w:val="both"/>
        <w:rPr>
          <w:rFonts w:ascii="Calibri" w:hAnsi="Calibri" w:cs="Calibri" w:eastAsia="Times New Roman"/>
          <w:color w:val="000000"/>
          <w:sz w:val="27"/>
        </w:rPr>
        <w:pStyle w:val="P68B1DB1-Normal2"/>
      </w:pPr>
      <w:r>
        <w:t xml:space="preserve">V – NOT to perform an act for the benefit of a legal entity in which I participate or even my spouse, partner or relatives, consanguineous or similar, in a straight or collateral line, up to the third degree, and which may be benefited by me or influence my acts in this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VI – DO NOT receive a gift from anyone who has an interest in my decision as a member of this Technical Subcommittee, outside the limits and conditions established in the regulation;</w:t>
      </w:r>
    </w:p>
    <w:p>
      <w:pPr>
        <w:spacing w:before="120" w:after="120" w:line="240" w:lineRule="auto"/>
        <w:ind w:left="120" w:right="120"/>
        <w:jc w:val="both"/>
        <w:rPr>
          <w:rFonts w:ascii="Calibri" w:hAnsi="Calibri" w:cs="Calibri" w:eastAsia="Times New Roman"/>
          <w:color w:val="000000"/>
          <w:sz w:val="27"/>
        </w:rPr>
        <w:pStyle w:val="P68B1DB1-Normal2"/>
      </w:pPr>
      <w:r>
        <w:t xml:space="preserve">VII – DO NOT provide services, even if occasional, to the communication company whose activity is contracted by the entity responsible for this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VIII – NOT participate, directly or indirectly, in the public sessions of this bidding, held by the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 xml:space="preserve">Date: _____ ____________________of _______</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______________________________________</w:t>
      </w:r>
    </w:p>
    <w:p>
      <w:pPr>
        <w:spacing w:before="120" w:after="120" w:line="240" w:lineRule="auto"/>
        <w:ind w:left="120" w:right="120"/>
        <w:jc w:val="center"/>
        <w:rPr>
          <w:rFonts w:ascii="Calibri" w:hAnsi="Calibri" w:cs="Calibri" w:eastAsia="Times New Roman"/>
          <w:color w:val="000000"/>
          <w:sz w:val="27"/>
        </w:rPr>
        <w:pStyle w:val="P68B1DB1-Normal2"/>
      </w:pPr>
      <w:r>
        <w:t>Signature</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The members of the Special Bidding Committee and the Technical Subcommittee shall be liable, in accordance with the law, for any actions or omissions that impair the course of the bidding process, pursuant to Chapter IV of Law No. 8.666/1993, as applicable.</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APPENDICES</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I - ESSENTIAL PRODUCTS AND SERVICES</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II - COMPLEMENTARY PRODUCTS AND SERVICES</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III - JUDGMENT OF TECHNICAL PROPOSALS</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IV - PRICE PROPOSAL AND JUDGMENT</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V - MODEL PRICE PROPOSAL</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VI - BRIEFING</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VII – PERFORMANCE EVALUATION INSTRUMENT</w:t>
      </w:r>
    </w:p>
    <w:p>
      <w:pPr>
        <w:spacing w:before="120" w:after="120" w:line="240" w:lineRule="auto"/>
        <w:ind w:left="120" w:right="120"/>
        <w:jc w:val="both"/>
        <w:rPr>
          <w:rFonts w:ascii="Calibri" w:hAnsi="Calibri" w:cs="Calibri" w:eastAsia="Times New Roman"/>
          <w:color w:val="000000"/>
          <w:sz w:val="27"/>
        </w:rPr>
        <w:pStyle w:val="P68B1DB1-Normal8"/>
      </w:pPr>
      <w:r>
        <w:t xml:space="preserve">APPENDIX VIII - TERM OF COMMITMENT</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I - ESSENTIAL PRODUCTS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8"/>
      </w:pPr>
      <w:bookmarkStart w:id="3" w:name="_Toc51746729"/>
      <w:r>
        <w:t xml:space="preserve">1. SPECIFICATION OF ESSENTIAL PRODUCTS AND SERVICES</w:t>
      </w:r>
    </w:p>
    <w:p>
      <w:pPr>
        <w:spacing w:before="120" w:after="120" w:line="240" w:lineRule="auto"/>
        <w:ind w:left="120" w:right="120"/>
        <w:jc w:val="both"/>
        <w:rPr>
          <w:rFonts w:ascii="Calibri" w:hAnsi="Calibri" w:cs="Calibri" w:eastAsia="Times New Roman"/>
          <w:color w:val="000000"/>
          <w:sz w:val="27"/>
        </w:rPr>
        <w:pStyle w:val="P68B1DB1-Normal9"/>
      </w:pPr>
      <w:r>
        <w:t xml:space="preserve">1.1 Demand Management</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Descriptive</w:t>
      </w:r>
      <w:r>
        <w:t xml:space="preserve">: Execution of management activities in Brazil, such as articulation and relationship with the main spokespersons of the agency and other interlocutors to promote the actions and programs of the agency with the various stakeholders. In addition to continuous monitoring of the client in strategic meetings and various institutional events.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Deliverable</w:t>
      </w:r>
      <w:r>
        <w:t xml:space="preserve">: Monthly report, with description of management, monitoring, articulation and relationship activities.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Aspects to be considered in the quality assessment</w:t>
      </w:r>
      <w:r>
        <w:rPr>
          <w:b/>
        </w:rPr>
        <w:t>:</w:t>
      </w:r>
      <w:r>
        <w:t xml:space="preserve"> Ability in management, articulation and delivery capacity.</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Complexity classification method:</w:t>
      </w:r>
      <w:r>
        <w:t xml:space="preserve"> Qualification of the professional(s) and number of countries activated in the batch.</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Complexity:</w:t>
      </w:r>
    </w:p>
    <w:tbl>
      <w:tblPr>
        <w:tblW w:w="78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349"/>
        <w:gridCol w:w="2635"/>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Master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Up to 03 (three) activated markets in the lot.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Master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From 03 (three) to 07 (seven) activated markets in the lot.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Master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More than 08 (eight) activated markets in the lot.</w:t>
            </w:r>
          </w:p>
        </w:tc>
      </w:tr>
    </w:tbl>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t xml:space="preserve"> monthly.</w:t>
      </w:r>
    </w:p>
    <w:p>
      <w:pPr>
        <w:spacing w:before="120" w:after="120" w:line="240" w:lineRule="auto"/>
        <w:ind w:left="120" w:right="120"/>
        <w:rPr>
          <w:rFonts w:ascii="Calibri" w:hAnsi="Calibri" w:cs="Calibri" w:eastAsia="Times New Roman"/>
          <w:color w:val="000000"/>
          <w:sz w:val="27"/>
        </w:rPr>
        <w:pStyle w:val="P68B1DB1-Normal2"/>
      </w:pPr>
      <w:r>
        <w:t xml:space="preserve"> </w:t>
      </w:r>
    </w:p>
    <w:p>
      <w:pPr>
        <w:spacing w:before="120" w:after="120" w:line="240" w:lineRule="auto"/>
        <w:ind w:left="120" w:right="120"/>
        <w:rPr>
          <w:rFonts w:ascii="Calibri" w:hAnsi="Calibri" w:cs="Calibri" w:eastAsia="Times New Roman"/>
          <w:color w:val="000000"/>
          <w:sz w:val="27"/>
        </w:rPr>
        <w:pStyle w:val="P68B1DB1-Normal9"/>
      </w:pPr>
      <w:r>
        <w:t xml:space="preserve">1.2 Coordination of demands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Descriptive</w:t>
      </w:r>
      <w:r>
        <w:rPr>
          <w:b/>
        </w:rPr>
        <w:t>:</w:t>
      </w:r>
      <w:r>
        <w:t xml:space="preserve"> To manage, articulate, document and fully understand the needs of the applicant, at EMBRATUR, in order to transform it into a specified product or service with quality. It must ensure the technical quality of delivery and maintenance of all products and services performed under the contract, such as Communication Strategy, Press Office, Media Intelligence, Content Production, Relationship with strategic audiences, Crisis Prevention and Management, special actions and alignment with the body for press trip management.</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Deliverable</w:t>
      </w:r>
      <w:r>
        <w:rPr>
          <w:b/>
        </w:rPr>
        <w:t>:</w:t>
      </w:r>
      <w:r>
        <w:t xml:space="preserve"> Monthly report listing the tasks performed, as well as the details of each movement that changes the development situation of the product or service.</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Aspects to be considered in the quality assessment</w:t>
      </w:r>
      <w:r>
        <w:rPr>
          <w:b/>
        </w:rPr>
        <w:t>:</w:t>
      </w:r>
      <w:r>
        <w:t xml:space="preserve"> performance measurement indicator and metric (quality and efficiency) - timeliness in service; quality in the interaction with the applicant and in the documentation of activities; compliance with deadlines; performance sizing, verifying the volume of service month by month.</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Complexity classification method</w:t>
      </w:r>
      <w:r>
        <w:rPr>
          <w:b/>
        </w:rPr>
        <w:t>:</w:t>
      </w:r>
      <w:r>
        <w:t xml:space="preserve"> Qualification of the professional(s) and number of countries activated in the batch.</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Complexity</w:t>
      </w:r>
      <w:r>
        <w:rPr>
          <w:b/>
        </w:rPr>
        <w:t xml:space="preserve">: </w:t>
      </w:r>
    </w:p>
    <w:tbl>
      <w:tblPr>
        <w:tblW w:w="78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349"/>
        <w:gridCol w:w="2635"/>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Senior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Up to 03 (three) activated markets in the lot.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Senior Professional and 01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From 03 (three) to 07 (seven) activated markets in the lot.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484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01 Senior Professional and 01 Professional and 01 Junior Professional</w:t>
            </w:r>
          </w:p>
        </w:tc>
        <w:tc>
          <w:tcPr>
            <w:tcW w:w="277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rPr>
                <w:rFonts w:ascii="Calibri" w:hAnsi="Calibri" w:cs="Calibri" w:eastAsia="Times New Roman"/>
                <w:color w:val="000000"/>
                <w:sz w:val="24"/>
              </w:rPr>
              <w:pStyle w:val="P68B1DB1-Normal4"/>
            </w:pPr>
            <w:r>
              <w:t xml:space="preserve">More than 08 (eight) activated markets in the lot.</w:t>
            </w:r>
          </w:p>
        </w:tc>
      </w:tr>
    </w:tbl>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rPr>
          <w:b/>
        </w:rPr>
        <w:t>:</w:t>
      </w:r>
      <w:r>
        <w:t xml:space="preserve"> monthly.</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bookmarkStart w:id="4" w:name="_Toc51774351"/>
      <w:bookmarkEnd w:id="3"/>
      <w:bookmarkEnd w:id="4"/>
      <w:r>
        <w:t xml:space="preserve">1.3. Communication Strategy</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1.3.1. Strategic Corporate Communication Plan</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Description</w:t>
      </w:r>
      <w:r>
        <w:t xml:space="preserve">: Preparation of EMBRATUR's Strategic Corporate Communication Plan, covering the following points: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Definition of the strategic objectives of the plan;</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Identification of internal and external audiences relevant to the body/entity in relation to its themes.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r>
        <w:rPr>
          <w:i/>
        </w:rPr>
        <w:t>Benchmarking</w:t>
      </w:r>
      <w:r>
        <w:t xml:space="preserve"> with bodies/entities that act in an exemplary manner.</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Survey of information about the CONTRACTING PARTY and its themes in other sources, such as: books, </w:t>
      </w:r>
      <w:r>
        <w:rPr>
          <w:i/>
        </w:rPr>
        <w:t>websites</w:t>
      </w:r>
      <w:r>
        <w:t xml:space="preserve">, academic studies, publications of sector entities, image audits, among others.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Survey of relevant inputs related to the CONTRACTING PARTY, such as mission, vision of the future, </w:t>
      </w:r>
      <w:r>
        <w:rPr>
          <w:i/>
        </w:rPr>
        <w:t>swot</w:t>
      </w:r>
      <w:r>
        <w:t xml:space="preserve"> matrix (strengths, weaknesses, threats and opportunity).</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Proposition and validation of key messages to be transmitted by the body/entity to its audiences;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Proposition and validation of a spokesperson policy: identification of the members of the institution who may formally represent it; the topics to be addressed by the spokespersons; the scope of the information to be passed on and the ways of applying the key messages;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Recommendation of actions and events in order to achieve the objectives of EMBRATUR;</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Recommendation of training of spokespersons and indication of the scope of the training; and</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Schedule for carrying out the proposed actions.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Deliverables</w:t>
      </w:r>
      <w:r>
        <w:t xml:space="preserve">: EMBRATUR's Strategic Corporate Communication Plan, in printed and digital versions.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Adherence and alignment of the Plan to EMBRATUR guidelines;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Scope and its applicability;</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Grammar assertiveness;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Quality of printed material; and</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Quality of the presentation of information in the documents.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Not applicable</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t xml:space="preserve">: Up to 20 (twenty) business days.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11"/>
      </w:pPr>
      <w:bookmarkStart w:id="5" w:name="_Toc51774352"/>
      <w:bookmarkEnd w:id="5"/>
      <w:r>
        <w:rPr>
          <w:sz w:val="27"/>
        </w:rPr>
        <w:t xml:space="preserve">1.3.2. </w:t>
      </w:r>
      <w:r>
        <w:rPr>
          <w:sz w:val="24"/>
        </w:rPr>
        <w:t xml:space="preserve">Map of International Influencers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Identification, quantification and qualification of opinion makers that influence the perceptions of the citizen through the dissemination of information about EMBRATUR and/or its themes.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Report in printed and digital format containing a list of opinion makers, with the name of the influencer, his profile, means of contact (email, telephone, social networks), professional history, summary of his position and the sensitive issues to which he is related, channels and communication vehicles (</w:t>
      </w:r>
      <w:r>
        <w:rPr>
          <w:i/>
        </w:rPr>
        <w:t>online</w:t>
      </w:r>
      <w:r>
        <w:t xml:space="preserve"> and </w:t>
      </w:r>
      <w:r>
        <w:rPr>
          <w:i/>
        </w:rPr>
        <w:t>offline</w:t>
      </w:r>
      <w:r>
        <w:t xml:space="preserve">) that he operates, and may be his own or third parties, with their audience statistics and recommendations for relationship action and distribution of personalized information.</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of the indication of influencers in relation to EMBRATUR and its themes;</w:t>
      </w:r>
    </w:p>
    <w:p>
      <w:pPr>
        <w:spacing w:before="120" w:after="120" w:line="240" w:lineRule="auto"/>
        <w:ind w:left="1800" w:right="120"/>
        <w:jc w:val="both"/>
        <w:rPr>
          <w:rFonts w:ascii="Calibri" w:hAnsi="Calibri" w:cs="Calibri" w:eastAsia="Times New Roman"/>
          <w:color w:val="000000"/>
          <w:sz w:val="27"/>
        </w:rPr>
        <w:pStyle w:val="P68B1DB1-Normal2"/>
      </w:pPr>
      <w:r>
        <w:t xml:space="preserve">- Quality of the presentation of information, regarding the organization, clarity and objectivity; and</w:t>
      </w:r>
    </w:p>
    <w:p>
      <w:pPr>
        <w:spacing w:before="120" w:after="120" w:line="240" w:lineRule="auto"/>
        <w:ind w:left="1800" w:right="120"/>
        <w:jc w:val="both"/>
        <w:rPr>
          <w:rFonts w:ascii="Calibri" w:hAnsi="Calibri" w:cs="Calibri" w:eastAsia="Times New Roman"/>
          <w:color w:val="000000"/>
          <w:sz w:val="27"/>
        </w:rPr>
        <w:pStyle w:val="P68B1DB1-Normal2"/>
      </w:pPr>
      <w:r>
        <w:t xml:space="preserve">- Grammar assertiveness;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Number of influencers mapped;</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of the indication of influencers in relation to EMBRATUR and its themes;</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667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95"/>
        <w:gridCol w:w="4980"/>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498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of 150 (one hundred and fifty) up to 499 (four hundred and ninety-nine) influencers.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20 (twenty) business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498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of 500 (five hundred) up to 999 (nine hundred and ninety-nine) influencers.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30 (thirty) business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498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Above 1000 (one thousand) influencers.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60 (sixty) business days.</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r>
        <w:t xml:space="preserve">1.4. International Press Office</w:t>
      </w:r>
    </w:p>
    <w:p>
      <w:pPr>
        <w:spacing w:before="120" w:after="120" w:line="240" w:lineRule="auto"/>
        <w:ind w:left="120" w:right="120"/>
        <w:jc w:val="both"/>
        <w:rPr>
          <w:rFonts w:ascii="Calibri" w:hAnsi="Calibri" w:cs="Calibri" w:eastAsia="Times New Roman"/>
          <w:color w:val="000000"/>
          <w:sz w:val="27"/>
        </w:rPr>
        <w:pStyle w:val="P68B1DB1-Normal8"/>
      </w:pPr>
      <w:bookmarkStart w:id="6" w:name="_Toc51774357"/>
      <w:r>
        <w:t xml:space="preserve">1.4.1. Attendance to International Communication Vehicles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Continuous development of activities, with a monthly execution period, in the service, receipt, treatment and response to requests for international communication vehicles, in addition to making proactive contacts for articulation with international communication vehicles in order to generate agendas of interest, disseminate actions and promote the image of Embratur and Brazil. The service to the international press must be carried out on site in the countries to be defined by EMBRATUR. The service includes the following activities:</w:t>
      </w:r>
    </w:p>
    <w:p>
      <w:pPr>
        <w:spacing w:before="120" w:after="120" w:line="240" w:lineRule="auto"/>
        <w:ind w:left="1800" w:right="120"/>
        <w:jc w:val="both"/>
        <w:rPr>
          <w:rFonts w:ascii="Calibri" w:hAnsi="Calibri" w:cs="Calibri" w:eastAsia="Times New Roman"/>
          <w:color w:val="000000"/>
          <w:sz w:val="27"/>
        </w:rPr>
        <w:pStyle w:val="P68B1DB1-Normal2"/>
      </w:pPr>
      <w:r>
        <w:t xml:space="preserve">- Monitoring of news of interest;</w:t>
      </w:r>
    </w:p>
    <w:p>
      <w:pPr>
        <w:spacing w:before="120" w:after="120" w:line="240" w:lineRule="auto"/>
        <w:ind w:left="1800" w:right="120"/>
        <w:jc w:val="both"/>
        <w:rPr>
          <w:rFonts w:ascii="Calibri" w:hAnsi="Calibri" w:cs="Calibri" w:eastAsia="Times New Roman"/>
          <w:color w:val="000000"/>
          <w:sz w:val="27"/>
        </w:rPr>
        <w:pStyle w:val="P68B1DB1-Normal2"/>
      </w:pPr>
      <w:r>
        <w:t xml:space="preserve">- Service and telephone contacts, by e-mail or by other electronic means;</w:t>
      </w:r>
    </w:p>
    <w:p>
      <w:pPr>
        <w:spacing w:before="120" w:after="120" w:line="240" w:lineRule="auto"/>
        <w:ind w:left="1800" w:right="120"/>
        <w:jc w:val="both"/>
        <w:rPr>
          <w:rFonts w:ascii="Calibri" w:hAnsi="Calibri" w:cs="Calibri" w:eastAsia="Times New Roman"/>
          <w:color w:val="000000"/>
          <w:sz w:val="27"/>
        </w:rPr>
        <w:pStyle w:val="P68B1DB1-Normal2"/>
      </w:pPr>
      <w:r>
        <w:t xml:space="preserve">- Attendance and face-to-face contacts;</w:t>
      </w:r>
    </w:p>
    <w:p>
      <w:pPr>
        <w:spacing w:before="120" w:after="120" w:line="240" w:lineRule="auto"/>
        <w:ind w:left="1800" w:right="120"/>
        <w:jc w:val="both"/>
        <w:rPr>
          <w:rFonts w:ascii="Calibri" w:hAnsi="Calibri" w:cs="Calibri" w:eastAsia="Times New Roman"/>
          <w:color w:val="000000"/>
          <w:sz w:val="27"/>
        </w:rPr>
        <w:pStyle w:val="P68B1DB1-Normal2"/>
      </w:pPr>
      <w:r>
        <w:t xml:space="preserve">- Consultation with sources;</w:t>
      </w:r>
    </w:p>
    <w:p>
      <w:pPr>
        <w:spacing w:before="120" w:after="120" w:line="240" w:lineRule="auto"/>
        <w:ind w:left="1800" w:right="120"/>
        <w:jc w:val="both"/>
        <w:rPr>
          <w:rFonts w:ascii="Calibri" w:hAnsi="Calibri" w:cs="Calibri" w:eastAsia="Times New Roman"/>
          <w:color w:val="000000"/>
          <w:sz w:val="27"/>
        </w:rPr>
        <w:pStyle w:val="P68B1DB1-Normal2"/>
      </w:pPr>
      <w:r>
        <w:t xml:space="preserve">- Preparation of </w:t>
      </w:r>
      <w:r>
        <w:rPr>
          <w:i/>
        </w:rPr>
        <w:t xml:space="preserve">press releases</w:t>
      </w:r>
      <w:r>
        <w:t xml:space="preserve">, notes, articles, responses and other content;</w:t>
      </w:r>
    </w:p>
    <w:p>
      <w:pPr>
        <w:spacing w:before="120" w:after="120" w:line="240" w:lineRule="auto"/>
        <w:ind w:left="1800" w:right="120"/>
        <w:jc w:val="both"/>
        <w:rPr>
          <w:rFonts w:ascii="Calibri" w:hAnsi="Calibri" w:cs="Calibri" w:eastAsia="Times New Roman"/>
          <w:color w:val="000000"/>
          <w:sz w:val="27"/>
        </w:rPr>
        <w:pStyle w:val="P68B1DB1-Normal2"/>
      </w:pPr>
      <w:r>
        <w:t xml:space="preserve">- Sending </w:t>
      </w:r>
      <w:r>
        <w:rPr>
          <w:i/>
        </w:rPr>
        <w:t xml:space="preserve">press releases</w:t>
      </w:r>
      <w:r>
        <w:t xml:space="preserve">, notes, articles, responses and other content;</w:t>
      </w:r>
    </w:p>
    <w:p>
      <w:pPr>
        <w:spacing w:before="120" w:after="120" w:line="240" w:lineRule="auto"/>
        <w:ind w:left="1800" w:right="120"/>
        <w:jc w:val="both"/>
        <w:rPr>
          <w:rFonts w:ascii="Calibri" w:hAnsi="Calibri" w:cs="Calibri" w:eastAsia="Times New Roman"/>
          <w:color w:val="000000"/>
          <w:sz w:val="27"/>
        </w:rPr>
        <w:pStyle w:val="P68B1DB1-Normal2"/>
      </w:pPr>
      <w:r>
        <w:t xml:space="preserve">- Promote the circulation of messages of interest to the body;</w:t>
      </w:r>
    </w:p>
    <w:p>
      <w:pPr>
        <w:spacing w:before="120" w:after="120" w:line="240" w:lineRule="auto"/>
        <w:ind w:left="1800" w:right="120"/>
        <w:jc w:val="both"/>
        <w:rPr>
          <w:rFonts w:ascii="Calibri" w:hAnsi="Calibri" w:cs="Calibri" w:eastAsia="Times New Roman"/>
          <w:color w:val="000000"/>
          <w:sz w:val="27"/>
        </w:rPr>
        <w:pStyle w:val="P68B1DB1-Normal2"/>
      </w:pPr>
      <w:r>
        <w:t xml:space="preserve">- Creation and updating of </w:t>
      </w:r>
      <w:r>
        <w:rPr>
          <w:i/>
        </w:rPr>
        <w:t>mailing</w:t>
      </w:r>
      <w:r>
        <w:t xml:space="preserve"> from the contact made; and</w:t>
      </w:r>
    </w:p>
    <w:p>
      <w:pPr>
        <w:spacing w:before="120" w:after="120" w:line="240" w:lineRule="auto"/>
        <w:ind w:left="1800" w:right="120"/>
        <w:jc w:val="both"/>
        <w:rPr>
          <w:rFonts w:ascii="Calibri" w:hAnsi="Calibri" w:cs="Calibri" w:eastAsia="Times New Roman"/>
          <w:color w:val="000000"/>
          <w:sz w:val="27"/>
        </w:rPr>
        <w:pStyle w:val="P68B1DB1-Normal2"/>
      </w:pPr>
      <w:r>
        <w:t xml:space="preserve">- Support to EMBRATUR spokespersons at country events.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Monthly reports of the number of requests met and agendas generated, with identification of the communication vehicles, the requesting journalists and proactively contacted, the content of each demand, the response, the updated </w:t>
      </w:r>
      <w:r>
        <w:rPr>
          <w:i/>
        </w:rPr>
        <w:t>mailing</w:t>
      </w:r>
      <w:r>
        <w:t xml:space="preserve">, in addition to the themes and contents and the data of the communication vehicles and the journalists responsible for the proactive matters.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Alignment of the agenda to EMBRATUR's strategic priorities;</w:t>
      </w:r>
    </w:p>
    <w:p>
      <w:pPr>
        <w:spacing w:before="120" w:after="120" w:line="240" w:lineRule="auto"/>
        <w:ind w:left="1800" w:right="120"/>
        <w:jc w:val="both"/>
        <w:rPr>
          <w:rFonts w:ascii="Calibri" w:hAnsi="Calibri" w:cs="Calibri" w:eastAsia="Times New Roman"/>
          <w:color w:val="000000"/>
          <w:sz w:val="27"/>
        </w:rPr>
        <w:pStyle w:val="P68B1DB1-Normal2"/>
      </w:pPr>
      <w:r>
        <w:t xml:space="preserve">- Amplitude of the information passed on;</w:t>
      </w:r>
    </w:p>
    <w:p>
      <w:pPr>
        <w:spacing w:before="120" w:after="120" w:line="240" w:lineRule="auto"/>
        <w:ind w:left="1800" w:right="120"/>
        <w:jc w:val="both"/>
        <w:rPr>
          <w:rFonts w:ascii="Calibri" w:hAnsi="Calibri" w:cs="Calibri" w:eastAsia="Times New Roman"/>
          <w:color w:val="000000"/>
          <w:sz w:val="27"/>
        </w:rPr>
        <w:pStyle w:val="P68B1DB1-Normal2"/>
      </w:pPr>
      <w:r>
        <w:t xml:space="preserve">- Relevance of the communication vehicles contacted and served regarding the reach of the public in the area of activity of the agency, any positive media returns arising from this relationship;</w:t>
      </w:r>
    </w:p>
    <w:p>
      <w:pPr>
        <w:spacing w:before="120" w:after="120" w:line="240" w:lineRule="auto"/>
        <w:ind w:left="1800" w:right="120"/>
        <w:jc w:val="both"/>
        <w:rPr>
          <w:rFonts w:ascii="Calibri" w:hAnsi="Calibri" w:cs="Calibri" w:eastAsia="Times New Roman"/>
          <w:color w:val="000000"/>
          <w:sz w:val="27"/>
        </w:rPr>
        <w:pStyle w:val="P68B1DB1-Normal2"/>
      </w:pPr>
      <w:r>
        <w:t xml:space="preserve">- Editorial space obtained (spontaneous media);</w:t>
      </w:r>
    </w:p>
    <w:p>
      <w:pPr>
        <w:spacing w:before="120" w:after="120" w:line="240" w:lineRule="auto"/>
        <w:ind w:left="1800" w:right="120"/>
        <w:jc w:val="both"/>
        <w:rPr>
          <w:rFonts w:ascii="Calibri" w:hAnsi="Calibri" w:cs="Calibri" w:eastAsia="Times New Roman"/>
          <w:color w:val="000000"/>
          <w:sz w:val="27"/>
        </w:rPr>
        <w:pStyle w:val="P68B1DB1-Normal2"/>
      </w:pPr>
      <w:r>
        <w:t xml:space="preserve">- Results of media monitoring and analysis reports, considering the citations and guidelines related to the agency; and</w:t>
      </w:r>
    </w:p>
    <w:p>
      <w:pPr>
        <w:spacing w:before="120" w:after="120" w:line="240" w:lineRule="auto"/>
        <w:ind w:left="1800" w:right="120"/>
        <w:jc w:val="both"/>
        <w:rPr>
          <w:rFonts w:ascii="Calibri" w:hAnsi="Calibri" w:cs="Calibri" w:eastAsia="Times New Roman"/>
          <w:color w:val="000000"/>
          <w:sz w:val="27"/>
        </w:rPr>
        <w:pStyle w:val="P68B1DB1-Normal2"/>
      </w:pPr>
      <w:r>
        <w:t xml:space="preserve">- Comparison between the monthly report presented with the image audit result, in the same period.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Profile of the teams (academic training, qualification, professional experience and languages) to meet the demand.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The minimum requirement concerns the profile of the professional who will perform the activities, and not the number of professionals allocated to perform this service. This will be the responsibility of the Contractor, provided that the quality aspects are complied with.</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9"/>
        <w:gridCol w:w="7339"/>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Junior Communication Professional: Higher education (courses recognized by the Ministry of Education) with at least 1 (one) year of experience in the area of Communication, working in agencies/ companies. Technical knowledge of the tools available for writing texts and </w:t>
            </w:r>
            <w:r>
              <w:rPr>
                <w:i/>
              </w:rPr>
              <w:t>software</w:t>
            </w:r>
            <w:r>
              <w:t xml:space="preserve"> used for </w:t>
            </w:r>
            <w:r>
              <w:rPr>
                <w:i/>
              </w:rPr>
              <w:t>mailing</w:t>
            </w:r>
            <w:r>
              <w:t xml:space="preserve"> and dissemination generation. Ability to ascertain information, prepare reports, monitor </w:t>
            </w:r>
            <w:r>
              <w:rPr>
                <w:i/>
              </w:rPr>
              <w:t>clipping</w:t>
            </w:r>
            <w:r>
              <w:t xml:space="preserve"> and carry out </w:t>
            </w:r>
            <w:r>
              <w:rPr>
                <w:i/>
              </w:rPr>
              <w:t>follow-up</w:t>
            </w:r>
            <w:r>
              <w:t xml:space="preserve"> with journalists and also good knowledge in the English language.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Communication Professional: higher education (courses recognized by the Ministry of Education) with at least 5 (five) years of experience in the area of Communication, acting in advisory services of public agencies, agencies/companies or in communication vehicles, and acting as an analyst in public agencies, agencies, and/or reporter, and/or assistant editor. Technical knowledge of the tools available for writing texts and </w:t>
            </w:r>
            <w:r>
              <w:rPr>
                <w:i/>
              </w:rPr>
              <w:t xml:space="preserve">software </w:t>
            </w:r>
            <w:r>
              <w:t xml:space="preserve">used for </w:t>
            </w:r>
            <w:r>
              <w:rPr>
                <w:i/>
              </w:rPr>
              <w:t>mailing</w:t>
            </w:r>
            <w:r>
              <w:t xml:space="preserve"> and dissemination generation. Proficiency in English.</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Senior Communication Professional: higher education (courses recognized by the Ministry of Education) with at least 8 (eight) years of experience in press offices of public agencies, agencies, companies or in communication vehicles of international scope, or have acted as a manager or coordinator of service in public press offices or agency. Experience in administration and coordination of communication activities, writing and editing of texts, speeches and articles, in addition to other activities involved in the service, such as defining disclosures and relationship programs with journalists. Responsible for consolidation and reporting and team management. Mastery of the English language and good knowledge of the Spanish language.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Highest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Master Communication Professional: higher education (courses recognized by the Ministry of Education) with at least 10 (ten) years of experience in public agencies/agencies/companies or communication vehicles of international scope; experience as head or coordinator of private or governmental press office, service manager in public agency, agencies, and/or chief editor, and/or editor. Broad knowledge of management tools and skills for the preparation of Communication and budgets work proposal, definition and implementation of planning, Communication projects, formulation of Communication policies and strategies and relationship with opinion leaders, conducting </w:t>
            </w:r>
            <w:r>
              <w:rPr>
                <w:i/>
              </w:rPr>
              <w:t xml:space="preserve">media training</w:t>
            </w:r>
            <w:r>
              <w:t xml:space="preserve"> and event management. Responsible for managing and leading teams to execute the actions of the Communication planning. Mastery of English and Spanish and good knowledge of the French language.</w:t>
            </w:r>
          </w:p>
        </w:tc>
      </w:tr>
    </w:tbl>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Monthly continuous execution. For advice and monitoring, according to the presence of spokespersons in the activated market. </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Note:</w:t>
      </w:r>
      <w:r>
        <w:t xml:space="preserve"> The service</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1.4.2. International Collective Interview </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Organization and holding of a press conference for one or more EMBRATUR spokespersons with a group of journalists from different foreign media outlets. Activities include:</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r>
        <w:rPr>
          <w:i/>
        </w:rPr>
        <w:t>Briefing</w:t>
      </w:r>
      <w:r>
        <w:t xml:space="preserve"> meeting with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 Planning, preparation and writing of the content to be disclosed and the documents to be delivered;</w:t>
      </w:r>
    </w:p>
    <w:p>
      <w:pPr>
        <w:spacing w:before="120" w:after="120" w:line="240" w:lineRule="auto"/>
        <w:ind w:left="1800" w:right="120"/>
        <w:jc w:val="both"/>
        <w:rPr>
          <w:rFonts w:ascii="Calibri" w:hAnsi="Calibri" w:cs="Calibri" w:eastAsia="Times New Roman"/>
          <w:color w:val="000000"/>
          <w:sz w:val="27"/>
        </w:rPr>
        <w:pStyle w:val="P68B1DB1-Normal2"/>
      </w:pPr>
      <w:r>
        <w:t xml:space="preserve">- Preparation and monitoring of spokespersons;</w:t>
      </w:r>
    </w:p>
    <w:p>
      <w:pPr>
        <w:spacing w:before="120" w:after="120" w:line="240" w:lineRule="auto"/>
        <w:ind w:left="1800" w:right="120"/>
        <w:jc w:val="both"/>
        <w:rPr>
          <w:rFonts w:ascii="Calibri" w:hAnsi="Calibri" w:cs="Calibri" w:eastAsia="Times New Roman"/>
          <w:color w:val="000000"/>
          <w:sz w:val="27"/>
        </w:rPr>
        <w:pStyle w:val="P68B1DB1-Normal2"/>
      </w:pPr>
      <w:r>
        <w:t xml:space="preserve">- Selection of guests and sending invitations;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Establishment of the systematic and execution of accreditation of participants;</w:t>
      </w:r>
    </w:p>
    <w:p>
      <w:pPr>
        <w:spacing w:before="120" w:after="120" w:line="240" w:lineRule="auto"/>
        <w:ind w:left="1800" w:right="120"/>
        <w:jc w:val="both"/>
        <w:rPr>
          <w:rFonts w:ascii="Calibri" w:hAnsi="Calibri" w:cs="Calibri" w:eastAsia="Times New Roman"/>
          <w:color w:val="000000"/>
          <w:sz w:val="27"/>
        </w:rPr>
        <w:pStyle w:val="P68B1DB1-Normal2"/>
      </w:pPr>
      <w:r>
        <w:t xml:space="preserve">- Investigation of the place of the meeting;</w:t>
      </w:r>
    </w:p>
    <w:p>
      <w:pPr>
        <w:spacing w:before="120" w:after="120" w:line="240" w:lineRule="auto"/>
        <w:ind w:left="1800" w:right="120"/>
        <w:jc w:val="both"/>
        <w:rPr>
          <w:rFonts w:ascii="Calibri" w:hAnsi="Calibri" w:cs="Calibri" w:eastAsia="Times New Roman"/>
          <w:color w:val="000000"/>
          <w:sz w:val="27"/>
        </w:rPr>
        <w:pStyle w:val="P68B1DB1-Normal2"/>
      </w:pPr>
      <w:r>
        <w:t xml:space="preserve">- Supervision and operation of the press conference (reception of guests, organization of the order of questions, screening, mediation and registration); and</w:t>
      </w:r>
    </w:p>
    <w:p>
      <w:pPr>
        <w:spacing w:before="120" w:after="120" w:line="240" w:lineRule="auto"/>
        <w:ind w:left="1800" w:right="120"/>
        <w:jc w:val="both"/>
        <w:rPr>
          <w:rFonts w:ascii="Calibri" w:hAnsi="Calibri" w:cs="Calibri" w:eastAsia="Times New Roman"/>
          <w:color w:val="000000"/>
          <w:sz w:val="27"/>
        </w:rPr>
        <w:pStyle w:val="P68B1DB1-Normal2"/>
      </w:pPr>
      <w:r>
        <w:t xml:space="preserve">- Survey and analysis of the repercussion of the press conference.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rPr>
          <w:i/>
        </w:rPr>
        <w:t xml:space="preserve">- Briefing</w:t>
      </w:r>
      <w:r>
        <w:t xml:space="preserve">, disclosed contents and documents delivered, collective documentation.</w:t>
      </w:r>
    </w:p>
    <w:p>
      <w:pPr>
        <w:spacing w:before="120" w:after="120" w:line="240" w:lineRule="auto"/>
        <w:ind w:left="1800" w:right="120"/>
        <w:jc w:val="both"/>
        <w:rPr>
          <w:rFonts w:ascii="Calibri" w:hAnsi="Calibri" w:cs="Calibri" w:eastAsia="Times New Roman"/>
          <w:color w:val="000000"/>
          <w:sz w:val="27"/>
        </w:rPr>
        <w:pStyle w:val="P68B1DB1-Normal2"/>
      </w:pPr>
      <w:r>
        <w:rPr>
          <w:i/>
        </w:rPr>
        <w:t xml:space="preserve">- Mailing</w:t>
      </w:r>
      <w:r>
        <w:t xml:space="preserve"> of the invited journalists, coverage reports with the registration of the participating journalists and the results obtained in the spontaneous media, from the holding of the press conference.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Adequacy of the planning and operation of the event;</w:t>
      </w:r>
    </w:p>
    <w:p>
      <w:pPr>
        <w:spacing w:before="120" w:after="120" w:line="240" w:lineRule="auto"/>
        <w:ind w:left="1800" w:right="120"/>
        <w:jc w:val="both"/>
        <w:rPr>
          <w:rFonts w:ascii="Calibri" w:hAnsi="Calibri" w:cs="Calibri" w:eastAsia="Times New Roman"/>
          <w:color w:val="000000"/>
          <w:sz w:val="27"/>
        </w:rPr>
        <w:pStyle w:val="P68B1DB1-Normal2"/>
      </w:pPr>
      <w:r>
        <w:t xml:space="preserve">- Effectiveness of the preparation of spokespersons in relation to questions asked by journalists; and</w:t>
      </w:r>
    </w:p>
    <w:p>
      <w:pPr>
        <w:spacing w:before="120" w:after="120" w:line="240" w:lineRule="auto"/>
        <w:ind w:left="1800" w:right="120"/>
        <w:jc w:val="both"/>
        <w:rPr>
          <w:rFonts w:ascii="Calibri" w:hAnsi="Calibri" w:cs="Calibri" w:eastAsia="Times New Roman"/>
          <w:color w:val="000000"/>
          <w:sz w:val="27"/>
        </w:rPr>
        <w:pStyle w:val="P68B1DB1-Normal2"/>
      </w:pPr>
      <w:r>
        <w:t xml:space="preserve">- Repercussion of the press conference and the results obtained in spontaneous media.</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Number of guest journalists;</w:t>
      </w:r>
    </w:p>
    <w:p>
      <w:pPr>
        <w:spacing w:before="120" w:after="120" w:line="240" w:lineRule="auto"/>
        <w:ind w:left="1800" w:right="120"/>
        <w:jc w:val="both"/>
        <w:rPr>
          <w:rFonts w:ascii="Calibri" w:hAnsi="Calibri" w:cs="Calibri" w:eastAsia="Times New Roman"/>
          <w:color w:val="000000"/>
          <w:sz w:val="27"/>
        </w:rPr>
        <w:pStyle w:val="P68B1DB1-Normal2"/>
      </w:pPr>
      <w:r>
        <w:t xml:space="preserve">- Amplitude and impact of the collective (minimum of 70% of use); and</w:t>
      </w:r>
    </w:p>
    <w:p>
      <w:pPr>
        <w:spacing w:before="120" w:after="120" w:line="240" w:lineRule="auto"/>
        <w:ind w:left="1800" w:right="120"/>
        <w:jc w:val="both"/>
        <w:rPr>
          <w:rFonts w:ascii="Calibri" w:hAnsi="Calibri" w:cs="Calibri" w:eastAsia="Times New Roman"/>
          <w:color w:val="000000"/>
          <w:sz w:val="27"/>
        </w:rPr>
        <w:pStyle w:val="P68B1DB1-Normal2"/>
      </w:pPr>
      <w:r>
        <w:t xml:space="preserve">- Implementation Deadline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10 (ten) to 20 (twenty) invited journalists, up to 5 (five) days in advance.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20 (twenty) to 50 (fifty) invited journalists, up to 10 (ten) days in advance.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Over 51 (fifty-one) invited journalists, up to 15 (fifteen) days in advance.</w:t>
            </w:r>
          </w:p>
        </w:tc>
      </w:tr>
    </w:tbl>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Up to 10 (ten) days.</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7" w:name="_Toc51774360"/>
      <w:r>
        <w:t xml:space="preserve">1.4.3. Collective Interview in a Digital Environment</w:t>
      </w:r>
      <w:bookmarkEnd w:id="7"/>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Description</w:t>
      </w:r>
      <w:r>
        <w:t xml:space="preserve">: The activity comprises the following actions: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Organization and execution of </w:t>
      </w:r>
      <w:r>
        <w:rPr>
          <w:i/>
        </w:rPr>
        <w:t>hangouts</w:t>
      </w:r>
      <w:r>
        <w:t xml:space="preserve"> and broadcasts with live </w:t>
      </w:r>
      <w:r>
        <w:rPr>
          <w:i/>
        </w:rPr>
        <w:t>streaming</w:t>
      </w:r>
      <w:r>
        <w:t xml:space="preserve">, with a survey of digital influencers to be invited;</w:t>
      </w:r>
    </w:p>
    <w:p>
      <w:pPr>
        <w:spacing w:before="120" w:after="120" w:line="240" w:lineRule="auto"/>
        <w:ind w:left="1800" w:right="120"/>
        <w:jc w:val="both"/>
        <w:rPr>
          <w:rFonts w:ascii="Calibri" w:hAnsi="Calibri" w:cs="Calibri" w:eastAsia="Times New Roman"/>
          <w:color w:val="000000"/>
          <w:sz w:val="27"/>
        </w:rPr>
        <w:pStyle w:val="P68B1DB1-Normal2"/>
      </w:pPr>
      <w:r>
        <w:t xml:space="preserve">- Definition of moderator;</w:t>
      </w:r>
    </w:p>
    <w:p>
      <w:pPr>
        <w:spacing w:before="120" w:after="120" w:line="240" w:lineRule="auto"/>
        <w:ind w:left="1800" w:right="120"/>
        <w:jc w:val="both"/>
        <w:rPr>
          <w:rFonts w:ascii="Calibri" w:hAnsi="Calibri" w:cs="Calibri" w:eastAsia="Times New Roman"/>
          <w:color w:val="000000"/>
          <w:sz w:val="27"/>
        </w:rPr>
        <w:pStyle w:val="P68B1DB1-Normal2"/>
      </w:pPr>
      <w:r>
        <w:t xml:space="preserve">- Technical preparation for realization;</w:t>
      </w:r>
    </w:p>
    <w:p>
      <w:pPr>
        <w:spacing w:before="120" w:after="120" w:line="240" w:lineRule="auto"/>
        <w:ind w:left="1800" w:right="120"/>
        <w:jc w:val="both"/>
        <w:rPr>
          <w:rFonts w:ascii="Calibri" w:hAnsi="Calibri" w:cs="Calibri" w:eastAsia="Times New Roman"/>
          <w:color w:val="000000"/>
          <w:sz w:val="27"/>
        </w:rPr>
        <w:pStyle w:val="P68B1DB1-Normal2"/>
      </w:pPr>
      <w:r>
        <w:t xml:space="preserve">- Sending invitations to participants;</w:t>
      </w:r>
    </w:p>
    <w:p>
      <w:pPr>
        <w:spacing w:before="120" w:after="120" w:line="240" w:lineRule="auto"/>
        <w:ind w:left="1800" w:right="120"/>
        <w:jc w:val="both"/>
        <w:rPr>
          <w:rFonts w:ascii="Calibri" w:hAnsi="Calibri" w:cs="Calibri" w:eastAsia="Times New Roman"/>
          <w:color w:val="000000"/>
          <w:sz w:val="27"/>
        </w:rPr>
        <w:pStyle w:val="P68B1DB1-Normal2"/>
      </w:pPr>
      <w:r>
        <w:t xml:space="preserve">- Collection of questions; and</w:t>
      </w:r>
    </w:p>
    <w:p>
      <w:pPr>
        <w:spacing w:before="120" w:after="120" w:line="240" w:lineRule="auto"/>
        <w:ind w:left="1800" w:right="120"/>
        <w:jc w:val="both"/>
        <w:rPr>
          <w:rFonts w:ascii="Calibri" w:hAnsi="Calibri" w:cs="Calibri" w:eastAsia="Times New Roman"/>
          <w:color w:val="000000"/>
          <w:sz w:val="27"/>
        </w:rPr>
        <w:pStyle w:val="P68B1DB1-Normal2"/>
      </w:pPr>
      <w:r>
        <w:t xml:space="preserve">- Analysis of data collected and repercussion of the disclosure.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 xml:space="preserve">: Report with the summary of the event, number of accesses and results achieved, in addition to DVD (or other media) with recording of the interview.</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Repercussion of the event; and</w:t>
      </w:r>
    </w:p>
    <w:p>
      <w:pPr>
        <w:spacing w:before="120" w:after="120" w:line="240" w:lineRule="auto"/>
        <w:ind w:left="1800" w:right="120"/>
        <w:jc w:val="both"/>
        <w:rPr>
          <w:rFonts w:ascii="Calibri" w:hAnsi="Calibri" w:cs="Calibri" w:eastAsia="Times New Roman"/>
          <w:color w:val="000000"/>
          <w:sz w:val="27"/>
        </w:rPr>
        <w:pStyle w:val="P68B1DB1-Normal2"/>
      </w:pPr>
      <w:r>
        <w:t xml:space="preserve">- Adequacy of the digital influencers indicated in relation to the theme of the event.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Not applicable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Up to 5 (five) business days.</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8" w:name="_Toc51774361"/>
      <w:r>
        <w:t xml:space="preserve">1.4.4. </w:t>
      </w:r>
      <w:r>
        <w:rPr>
          <w:i/>
        </w:rPr>
        <w:t xml:space="preserve">Press Trip</w:t>
      </w:r>
      <w:r>
        <w:t xml:space="preserve">/Tour Planning</w:t>
      </w:r>
      <w:bookmarkEnd w:id="8"/>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Identification of an opportunity for work aimed at target journalists and influencers, who cover the area of interest of EMBRATUR. The planning of a </w:t>
      </w:r>
      <w:r>
        <w:rPr>
          <w:i/>
        </w:rPr>
        <w:t xml:space="preserve">press trip</w:t>
      </w:r>
      <w:r>
        <w:t xml:space="preserve"> should point out the profiles of journalists, considering the relevance of the guest from personal data and the vehicle and/or platform to which it is connected, plan all the content to be disclosed, present the script according to EMBRATUR's guidance </w:t>
      </w:r>
      <w:r>
        <w:rPr>
          <w:i/>
        </w:rPr>
        <w:t>briefing</w:t>
      </w:r>
      <w:r>
        <w:t xml:space="preserve">, in addition to the entire logistics operation of the project.It should also evaluate the relevance of the invitation to travel according to the theme and objectives established in EMBRATUR's strategic planning.</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Travel planning, with theme suggestion, detailing the activities suggested for each day of travel and indication of the complete list of guests and sending invitations. The planning should provide suggestions for hotels, restaurants and tours. The material must contain information about the trip, prerequisites and special conditions, such as visas, vaccines, need for accreditation for a given event or activity, among other variables. It must also contain a budget estimate.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Adequacy of planning to the strategic objectives of EMBRATUR; and</w:t>
      </w:r>
    </w:p>
    <w:p>
      <w:pPr>
        <w:spacing w:before="120" w:after="120" w:line="240" w:lineRule="auto"/>
        <w:ind w:left="1800" w:right="120"/>
        <w:jc w:val="both"/>
        <w:rPr>
          <w:rFonts w:ascii="Calibri" w:hAnsi="Calibri" w:cs="Calibri" w:eastAsia="Times New Roman"/>
          <w:color w:val="000000"/>
          <w:sz w:val="27"/>
        </w:rPr>
        <w:pStyle w:val="P68B1DB1-Normal2"/>
      </w:pPr>
      <w:r>
        <w:t xml:space="preserve">- The accuracy of the detailing of the travel itinerary and adequacy of the selection of guest journalists.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Not applicable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Up to 10 (ten) days.</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9" w:name="_Toc51774362"/>
      <w:r>
        <w:t xml:space="preserve">1.4.5. </w:t>
      </w:r>
      <w:r>
        <w:rPr>
          <w:i/>
        </w:rPr>
        <w:t xml:space="preserve">Press Trip</w:t>
      </w:r>
      <w:r>
        <w:t xml:space="preserve">/ Tour Monitoring</w:t>
      </w:r>
      <w:bookmarkEnd w:id="9"/>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 xml:space="preserve">: Designation of teams to coordinate activities and monitor travel, according to previously approved planning.</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Deliverables</w:t>
      </w:r>
      <w:r>
        <w:t xml:space="preserve">: Coverage report with a description of the activities carried out on each day of the trip, presentation and analysis of the perceptions of the guests, identified through an interview or research questionnaire, including photos and/or videos of the visits.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Comparison between the activity report and the trip planning, to verify if the results obtained with the initiative were as expected;</w:t>
      </w:r>
    </w:p>
    <w:p>
      <w:pPr>
        <w:spacing w:before="120" w:after="120" w:line="240" w:lineRule="auto"/>
        <w:ind w:left="1800" w:right="120"/>
        <w:jc w:val="both"/>
        <w:rPr>
          <w:rFonts w:ascii="Calibri" w:hAnsi="Calibri" w:cs="Calibri" w:eastAsia="Times New Roman"/>
          <w:color w:val="000000"/>
          <w:sz w:val="27"/>
        </w:rPr>
        <w:pStyle w:val="P68B1DB1-Normal2"/>
      </w:pPr>
      <w:r>
        <w:t xml:space="preserve">- Analysis of guest </w:t>
      </w:r>
      <w:r>
        <w:rPr>
          <w:i/>
        </w:rPr>
        <w:t>feedback</w:t>
      </w:r>
      <w:r>
        <w:t xml:space="preserve">; and</w:t>
      </w:r>
    </w:p>
    <w:p>
      <w:pPr>
        <w:spacing w:before="120" w:after="120" w:line="240" w:lineRule="auto"/>
        <w:ind w:left="1800" w:right="120"/>
        <w:jc w:val="both"/>
        <w:rPr>
          <w:rFonts w:ascii="Calibri" w:hAnsi="Calibri" w:cs="Calibri" w:eastAsia="Times New Roman"/>
          <w:color w:val="000000"/>
          <w:sz w:val="27"/>
        </w:rPr>
        <w:pStyle w:val="P68B1DB1-Normal2"/>
      </w:pPr>
      <w:r>
        <w:t xml:space="preserve">- Verification and analysis of editorial spaces (spontaneous media) related to the promotion of the </w:t>
      </w:r>
      <w:r>
        <w:rPr>
          <w:i/>
        </w:rPr>
        <w:t xml:space="preserve">press trip/tour</w:t>
      </w:r>
      <w:r>
        <w: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Duration of the trip.</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872"/>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Trip lasting up to 5 (five)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Trip lasting from 6 (six) to 10 (ten)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Trip lasting more than 11 (eleven) days.</w:t>
            </w:r>
          </w:p>
        </w:tc>
      </w:tr>
    </w:tbl>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Up to 10 (ten) days.</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10" w:name="_Toc51774363"/>
      <w:r>
        <w:t xml:space="preserve">1.4.6.One-to-one </w:t>
      </w:r>
      <w:r>
        <w:t>interviews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Description: The activity comprises the following actions: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Organization of an agenda of interviews with the communication vehicles in the contracted market;</w:t>
      </w:r>
    </w:p>
    <w:p>
      <w:pPr>
        <w:spacing w:before="120" w:after="120" w:line="240" w:lineRule="auto"/>
        <w:ind w:left="1800" w:right="120"/>
        <w:jc w:val="both"/>
        <w:rPr>
          <w:rFonts w:ascii="Calibri" w:hAnsi="Calibri" w:cs="Calibri" w:eastAsia="Times New Roman"/>
          <w:color w:val="000000"/>
          <w:sz w:val="27"/>
        </w:rPr>
        <w:pStyle w:val="P68B1DB1-Normal2"/>
      </w:pPr>
      <w:r>
        <w:t xml:space="preserve">- Scheduling and </w:t>
      </w:r>
      <w:r>
        <w:rPr>
          <w:i/>
        </w:rPr>
        <w:t xml:space="preserve">follow-up </w:t>
      </w:r>
      <w:r>
        <w:t xml:space="preserve">of interviews, according to the times when the spokespersons will be available;</w:t>
      </w:r>
    </w:p>
    <w:p>
      <w:pPr>
        <w:spacing w:before="120" w:after="120" w:line="240" w:lineRule="auto"/>
        <w:ind w:left="1800" w:right="120"/>
        <w:jc w:val="both"/>
        <w:rPr>
          <w:rFonts w:ascii="Calibri" w:hAnsi="Calibri" w:cs="Calibri" w:eastAsia="Times New Roman"/>
          <w:color w:val="000000"/>
          <w:sz w:val="27"/>
        </w:rPr>
        <w:pStyle w:val="P68B1DB1-Normal2"/>
      </w:pPr>
      <w:r>
        <w:t xml:space="preserve">- Planning of all content to be disclosed, including briefing meeting with EMBRATUR and preparation of spokesperson(s);</w:t>
      </w:r>
    </w:p>
    <w:p>
      <w:pPr>
        <w:spacing w:before="120" w:after="120" w:line="240" w:lineRule="auto"/>
        <w:ind w:left="1800" w:right="120"/>
        <w:jc w:val="both"/>
        <w:rPr>
          <w:rFonts w:ascii="Calibri" w:hAnsi="Calibri" w:cs="Calibri" w:eastAsia="Times New Roman"/>
          <w:color w:val="000000"/>
          <w:sz w:val="27"/>
        </w:rPr>
        <w:pStyle w:val="P68B1DB1-Normal2"/>
      </w:pPr>
      <w:r>
        <w:t xml:space="preserve">- Selection of guests and sending invitations;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Definition of materials to be delivered;</w:t>
      </w:r>
    </w:p>
    <w:p>
      <w:pPr>
        <w:spacing w:before="120" w:after="120" w:line="240" w:lineRule="auto"/>
        <w:ind w:left="1800" w:right="120"/>
        <w:jc w:val="both"/>
        <w:rPr>
          <w:rFonts w:ascii="Calibri" w:hAnsi="Calibri" w:cs="Calibri" w:eastAsia="Times New Roman"/>
          <w:color w:val="000000"/>
          <w:sz w:val="27"/>
        </w:rPr>
        <w:pStyle w:val="P68B1DB1-Normal2"/>
      </w:pPr>
      <w:r>
        <w:t xml:space="preserve">- Investigation of the place of the meeting;</w:t>
      </w:r>
    </w:p>
    <w:p>
      <w:pPr>
        <w:spacing w:before="120" w:after="120" w:line="240" w:lineRule="auto"/>
        <w:ind w:left="1800" w:right="120"/>
        <w:jc w:val="both"/>
        <w:rPr>
          <w:rFonts w:ascii="Calibri" w:hAnsi="Calibri" w:cs="Calibri" w:eastAsia="Times New Roman"/>
          <w:color w:val="000000"/>
          <w:sz w:val="27"/>
        </w:rPr>
        <w:pStyle w:val="P68B1DB1-Normal2"/>
      </w:pPr>
      <w:r>
        <w:t xml:space="preserve">- Supervision and operation of interviews (reception of guests, organization of the order of questions, screening, mediation and registration).</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rPr>
          <w:i/>
        </w:rPr>
        <w:t xml:space="preserve">- Briefing</w:t>
      </w:r>
      <w:r>
        <w:t xml:space="preserve">, disclosed contents and documents delivered;</w:t>
      </w:r>
    </w:p>
    <w:p>
      <w:pPr>
        <w:spacing w:before="120" w:after="120" w:line="240" w:lineRule="auto"/>
        <w:ind w:left="1800" w:right="120"/>
        <w:jc w:val="both"/>
        <w:rPr>
          <w:rFonts w:ascii="Calibri" w:hAnsi="Calibri" w:cs="Calibri" w:eastAsia="Times New Roman"/>
          <w:color w:val="000000"/>
          <w:sz w:val="27"/>
        </w:rPr>
        <w:pStyle w:val="P68B1DB1-Normal2"/>
      </w:pPr>
      <w:r>
        <w:rPr>
          <w:i/>
        </w:rPr>
        <w:t xml:space="preserve">- Mailing</w:t>
      </w:r>
      <w:r>
        <w:t xml:space="preserve"> of guest journalists, coverage reports with the journalist's record; and</w:t>
      </w:r>
    </w:p>
    <w:p>
      <w:pPr>
        <w:spacing w:before="120" w:after="120" w:line="240" w:lineRule="auto"/>
        <w:ind w:left="1800" w:right="120"/>
        <w:jc w:val="both"/>
        <w:rPr>
          <w:rFonts w:ascii="Calibri" w:hAnsi="Calibri" w:cs="Calibri" w:eastAsia="Times New Roman"/>
          <w:color w:val="000000"/>
          <w:sz w:val="27"/>
        </w:rPr>
        <w:pStyle w:val="P68B1DB1-Normal2"/>
      </w:pPr>
      <w:r>
        <w:t xml:space="preserve">- Results obtained in spontaneous media, from the performance of the service.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21"/>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6084"/>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 xml:space="preserve">From 02 (two) to 04 (four) vehicles invited to the agenda.</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 xml:space="preserve">From 05 (five) to 08 (eight) vehicles invited to the agenda.</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sz w:val="24"/>
                    </w:rPr>
                    <w:pStyle w:val="P68B1DB1-Normal12"/>
                  </w:pPr>
                  <w:r>
                    <w:t xml:space="preserve">Above 08 (eight) vehicles invited to schedule. </w:t>
                  </w:r>
                </w:p>
              </w:tc>
            </w:tr>
          </w:tbl>
          <w:p>
            <w:pPr>
              <w:spacing w:after="0" w:line="240" w:lineRule="auto"/>
              <w:rPr>
                <w:rFonts w:ascii="Times New Roman" w:hAnsi="Times New Roman" w:cs="Times New Roman" w:eastAsia="Times New Roman"/>
                <w:color w:val="000000"/>
                <w:sz w:val="27"/>
              </w:rPr>
            </w:pPr>
          </w:p>
        </w:tc>
      </w:tr>
    </w:tbl>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Up to 10 (ten) days.</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1.4.7. International </w:t>
      </w:r>
      <w:bookmarkStart w:id="11" w:name="_Toc51774364"/>
      <w:bookmarkEnd w:id="10"/>
      <w:r>
        <w:t xml:space="preserve">advice of spokespersons and follow-up at events (fairs, workshops, roadshows and other events)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Description: The activity comprises the following actions: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Follow-up of spokespersons at country events;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Miscellaneous advice on the needs of spokespersons;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Scheduling and </w:t>
      </w:r>
      <w:r>
        <w:rPr>
          <w:i/>
        </w:rPr>
        <w:t>follow-up</w:t>
      </w:r>
      <w:r>
        <w:t xml:space="preserve"> of interviews, according to the times when the spokespersons will be available;</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Providing guidance, key messages, data and other relevant information to the Contracting party's representative; and</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Selection of guests and sending invitations.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Report with the summary of the monitoring, containing the activities performed and analysis; and</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-Photographic Report.</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Complexity</w:t>
      </w:r>
      <w:r>
        <w:t>:</w:t>
      </w:r>
    </w:p>
    <w:tbl>
      <w:tblPr>
        <w:tblW w:w="0" w:type="auto"/>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42"/>
        <w:gridCol w:w="5121"/>
      </w:tblGrid>
      <w:tr>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Up to 5 (five) hours of advisory.</w:t>
            </w:r>
          </w:p>
        </w:tc>
      </w:tr>
      <w:tr>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Above 5 (five) to 10 (ten) hours of advisory.</w:t>
            </w:r>
          </w:p>
        </w:tc>
      </w:tr>
      <w:tr>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Above 10 (ten) hours of advisory.</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bookmarkStart w:id="12" w:name="_Toc51774365"/>
      <w:r>
        <w:t xml:space="preserve">1.5. International</w:t>
      </w:r>
      <w:bookmarkStart w:id="13" w:name="_Toc51774369"/>
      <w:bookmarkEnd w:id="12"/>
      <w:r>
        <w:t xml:space="preserve"> Monitoring and Analysis</w:t>
      </w:r>
      <w:bookmarkEnd w:id="13"/>
    </w:p>
    <w:p>
      <w:pPr>
        <w:spacing w:before="120" w:after="120" w:line="240" w:lineRule="auto"/>
        <w:ind w:left="120" w:right="120"/>
        <w:jc w:val="both"/>
        <w:rPr>
          <w:rFonts w:ascii="Calibri" w:hAnsi="Calibri" w:cs="Calibri" w:eastAsia="Times New Roman"/>
          <w:color w:val="000000"/>
          <w:sz w:val="27"/>
        </w:rPr>
        <w:pStyle w:val="P68B1DB1-Normal8"/>
      </w:pPr>
      <w:bookmarkStart w:id="14" w:name="_Toc51774370"/>
      <w:r>
        <w:t xml:space="preserve">1.5.1. Content Monitoring in Social Networks, Blogs and News Portals</w:t>
      </w:r>
      <w:bookmarkEnd w:id="14"/>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Permanent monitoring (24 hours, 7 days a week) of EMBRATUR's image and its themes on social networks, </w:t>
      </w:r>
      <w:r>
        <w:rPr>
          <w:i/>
        </w:rPr>
        <w:t xml:space="preserve">blogs and news portals</w:t>
      </w:r>
      <w:r>
        <w:t xml:space="preserve">. Monitoring should indicate the repercussion, reputation, evolution of feeling, the main influencers and other strategic information for decision making. Situations that indicate possible repercussions with a high volume of mentions should be warned, especially those that may generate crisis. The analysis should identify the reasons for the high volume of mentions, and not only contain numbers, that is, explain the reasons why a particular theme is with a positive or negative focus, which is generating this effect and provide examples of posts and news that prove this explanation.</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Daily report at 7:00 am, sent to the email to be defined by EMBRATUR. It should bring a summary of the facts of the previous day (issues of greater relevance, positive or negative), trends of topics relevant to the day and topics with potential to continue on the agenda (for example, theme that is impacting on social networks);</w:t>
      </w:r>
    </w:p>
    <w:p>
      <w:pPr>
        <w:spacing w:before="120" w:after="120" w:line="240" w:lineRule="auto"/>
        <w:ind w:left="1800" w:right="120"/>
        <w:jc w:val="both"/>
        <w:rPr>
          <w:rFonts w:ascii="Calibri" w:hAnsi="Calibri" w:cs="Calibri" w:eastAsia="Times New Roman"/>
          <w:color w:val="000000"/>
          <w:sz w:val="27"/>
        </w:rPr>
        <w:pStyle w:val="P68B1DB1-Normal2"/>
      </w:pPr>
      <w:r>
        <w:t xml:space="preserve">- Daily report between 12:00 and 2 p.m sent to the email adress to be defined by EMBRATUR. It should bring the most important topics on the day. Compliance with this schedule allows the customer to have time to act on the same day;</w:t>
      </w:r>
    </w:p>
    <w:p>
      <w:pPr>
        <w:spacing w:before="120" w:after="120" w:line="240" w:lineRule="auto"/>
        <w:ind w:left="1800" w:right="120"/>
        <w:jc w:val="both"/>
        <w:rPr>
          <w:rFonts w:ascii="Calibri" w:hAnsi="Calibri" w:cs="Calibri" w:eastAsia="Times New Roman"/>
          <w:color w:val="000000"/>
          <w:sz w:val="27"/>
        </w:rPr>
        <w:pStyle w:val="P68B1DB1-Normal2"/>
      </w:pPr>
      <w:r>
        <w:t xml:space="preserve">- Alerts sent to the email to be defined by EMBRATUR – Organize a crisis cut-off rule (by volume of mentions) and evaluate what deserves or not to be alerted. Also alert to positive issues, that is, issues that may have a large-scale impact, positively for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 Weekly report in presentation file on day and time to be defined by EMBRATUR. Cutout with an overview of the main themes and what most reflected, positively and negatively, among the monitored items. It must have direct and objective content, clearly summarizing the occurrences of the week;</w:t>
      </w:r>
    </w:p>
    <w:p>
      <w:pPr>
        <w:spacing w:before="120" w:after="120" w:line="240" w:lineRule="auto"/>
        <w:ind w:left="1800" w:right="120"/>
        <w:jc w:val="both"/>
        <w:rPr>
          <w:rFonts w:ascii="Calibri" w:hAnsi="Calibri" w:cs="Calibri" w:eastAsia="Times New Roman"/>
          <w:color w:val="000000"/>
          <w:sz w:val="27"/>
        </w:rPr>
        <w:pStyle w:val="P68B1DB1-Normal2"/>
      </w:pPr>
      <w:r>
        <w:t xml:space="preserve">- Weekend report sent to the email adress to be defined by EMBRATUR - Between 12:00 and 2 p.m on Saturdays, Sundays and holidays - a consolidated with the main information of the day, following the same parameters of the daily report, one for each day; and</w:t>
      </w:r>
    </w:p>
    <w:p>
      <w:pPr>
        <w:spacing w:before="120" w:after="120" w:line="240" w:lineRule="auto"/>
        <w:ind w:left="1800" w:right="120"/>
        <w:jc w:val="both"/>
        <w:rPr>
          <w:rFonts w:ascii="Calibri" w:hAnsi="Calibri" w:cs="Calibri" w:eastAsia="Times New Roman"/>
          <w:color w:val="000000"/>
          <w:sz w:val="27"/>
        </w:rPr>
        <w:pStyle w:val="P68B1DB1-Normal2"/>
      </w:pPr>
      <w:r>
        <w:t xml:space="preserve">- Monthly report in presentation file (fifth business day after the end of the month). Consolidated objective of the information and macro analysis of what happened in the month.</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Compliance with the deadline, with a tolerance of up to 30 minutes;</w:t>
      </w:r>
    </w:p>
    <w:p>
      <w:pPr>
        <w:spacing w:before="120" w:after="120" w:line="240" w:lineRule="auto"/>
        <w:ind w:left="1800" w:right="120"/>
        <w:jc w:val="both"/>
        <w:rPr>
          <w:rFonts w:ascii="Calibri" w:hAnsi="Calibri" w:cs="Calibri" w:eastAsia="Times New Roman"/>
          <w:color w:val="000000"/>
          <w:sz w:val="27"/>
        </w:rPr>
        <w:pStyle w:val="P68B1DB1-Normal2"/>
      </w:pPr>
      <w:r>
        <w:t xml:space="preserve">- Quality of the analyzes;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relevance and timeliness of the alerts presented.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Number of mentions.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6214"/>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Monitoring from 1 to 100 thousand mentions/month.</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Monitoring of more than 100 thousand to 500 thousand mentions/month.</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Monitoring more than 500 thousand mentions/month.</w:t>
            </w:r>
          </w:p>
        </w:tc>
      </w:tr>
    </w:tbl>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t xml:space="preserve">: As specified in the item Deliveries.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15" w:name="_Toc51774371"/>
      <w:r>
        <w:t xml:space="preserve">1.5.2. Analysis of Newspapers, Magazines, </w:t>
      </w:r>
      <w:r>
        <w:rPr>
          <w:i/>
        </w:rPr>
        <w:t>Blogs</w:t>
      </w:r>
      <w:r>
        <w:t xml:space="preserve">, Social Networks and News Portals</w:t>
      </w:r>
      <w:bookmarkEnd w:id="15"/>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Daily analytical summary of the content monitored in newspapers, magazines, </w:t>
      </w:r>
      <w:r>
        <w:rPr>
          <w:i/>
        </w:rPr>
        <w:t>blogs</w:t>
      </w:r>
      <w:r>
        <w:t xml:space="preserve">, social networks and news portals, with alerts on topics that offer opportunities or risks of communication in the image of EMBRATUR and its themes, as well as recommendations for measures to be adopted.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- 02 (two) daily electronic reports, sent by electronic mail to a list of emails defined by EMBRATUR. The first bulletin must be sent by 8.30 a.m. The second report until 4 p.m, including on weekends and holidays.</w:t>
      </w:r>
    </w:p>
    <w:p>
      <w:pPr>
        <w:spacing w:before="120" w:after="120" w:line="240" w:lineRule="auto"/>
        <w:ind w:left="1800" w:right="120"/>
        <w:jc w:val="both"/>
        <w:rPr>
          <w:rFonts w:ascii="Calibri" w:hAnsi="Calibri" w:cs="Calibri" w:eastAsia="Times New Roman"/>
          <w:color w:val="000000"/>
          <w:sz w:val="27"/>
        </w:rPr>
        <w:pStyle w:val="P68B1DB1-Normal2"/>
      </w:pPr>
      <w:r>
        <w:t xml:space="preserve">- Alerts – electronic message (in previously agreed format) about facts of impact and of interest to EMBRATUR, reported in the intervals between the sending of the reports.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Compliance with the stipulated deadlines with a tolerance of up to 30 (thirty) minutes;</w:t>
      </w:r>
    </w:p>
    <w:p>
      <w:pPr>
        <w:spacing w:before="120" w:after="120" w:line="240" w:lineRule="auto"/>
        <w:ind w:left="1800" w:right="120"/>
        <w:jc w:val="both"/>
        <w:rPr>
          <w:rFonts w:ascii="Calibri" w:hAnsi="Calibri" w:cs="Calibri" w:eastAsia="Times New Roman"/>
          <w:color w:val="000000"/>
          <w:sz w:val="27"/>
        </w:rPr>
        <w:pStyle w:val="P68B1DB1-Normal2"/>
      </w:pPr>
      <w:r>
        <w:t xml:space="preserve">- Quality of the analyzes;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 Relevance and consistency of the alerts made; and</w:t>
      </w:r>
    </w:p>
    <w:p>
      <w:pPr>
        <w:spacing w:before="120" w:after="120" w:line="240" w:lineRule="auto"/>
        <w:ind w:left="1800" w:right="120"/>
        <w:jc w:val="both"/>
        <w:rPr>
          <w:rFonts w:ascii="Calibri" w:hAnsi="Calibri" w:cs="Calibri" w:eastAsia="Times New Roman"/>
          <w:color w:val="000000"/>
          <w:sz w:val="27"/>
        </w:rPr>
        <w:pStyle w:val="P68B1DB1-Normal2"/>
      </w:pPr>
      <w:r>
        <w:t xml:space="preserve">- Adherence to EMBRATUR's themes.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Number of vehicles monitored.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45"/>
        <w:gridCol w:w="7509"/>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50 (fifty) monitored vehicles.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51 (fifty-one) to 150 (one hundred and fifty) monitored vehicles.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More than 150 (one hundred and fifty) monitored vehicles.</w:t>
            </w:r>
          </w:p>
        </w:tc>
      </w:tr>
    </w:tbl>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t xml:space="preserve">: monthly.</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bookmarkStart w:id="16" w:name="_Toc51774372"/>
      <w:r>
        <w:t xml:space="preserve">1.5.3. International Image Audit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Monthly exposure audit of EMBRATUR, its themes and Brazil, based on quantitative and qualitative analysis of its presence in the following media: newspapers, magazines, news portals, TV, radio, </w:t>
      </w:r>
      <w:r>
        <w:rPr>
          <w:i/>
        </w:rPr>
        <w:t xml:space="preserve">blogs </w:t>
      </w:r>
      <w:r>
        <w:t xml:space="preserve">and social networks. The audit should point out the main themes published/published in the press and other means/platforms, by type of vehicle and impact on the image of EMBRATUR, its themes and Brazil.</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Analytical report (quantitative and qualitative), with a face-to-face presentation, of how the strategic audiences the monitored media/communication vehicles build the image of EMBRATUR and its themes and of Brazil, the positive and negative attributes and the main perceptions about its performance. The report must be delivered in printed form and in digital format.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of quantitative and qualitative analyses;</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of the analysis of results;</w:t>
      </w:r>
    </w:p>
    <w:p>
      <w:pPr>
        <w:spacing w:before="120" w:after="120" w:line="240" w:lineRule="auto"/>
        <w:ind w:left="1800" w:right="120"/>
        <w:jc w:val="both"/>
        <w:rPr>
          <w:rFonts w:ascii="Calibri" w:hAnsi="Calibri" w:cs="Calibri" w:eastAsia="Times New Roman"/>
          <w:color w:val="000000"/>
          <w:sz w:val="27"/>
        </w:rPr>
        <w:pStyle w:val="P68B1DB1-Normal2"/>
      </w:pPr>
      <w:r>
        <w:t xml:space="preserve">- Assertiveness of conclusions;</w:t>
      </w:r>
    </w:p>
    <w:p>
      <w:pPr>
        <w:spacing w:before="120" w:after="120" w:line="240" w:lineRule="auto"/>
        <w:ind w:left="1800" w:right="120"/>
        <w:jc w:val="both"/>
        <w:rPr>
          <w:rFonts w:ascii="Calibri" w:hAnsi="Calibri" w:cs="Calibri" w:eastAsia="Times New Roman"/>
          <w:color w:val="000000"/>
          <w:sz w:val="27"/>
        </w:rPr>
        <w:pStyle w:val="P68B1DB1-Normal2"/>
      </w:pPr>
      <w:r>
        <w:t xml:space="preserve">- Enforceability of recommendations;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Organization, clarity and objectivity of the information and data presented;</w:t>
      </w:r>
    </w:p>
    <w:p>
      <w:pPr>
        <w:spacing w:before="120" w:after="120" w:line="240" w:lineRule="auto"/>
        <w:ind w:left="1800" w:right="120"/>
        <w:jc w:val="both"/>
        <w:rPr>
          <w:rFonts w:ascii="Calibri" w:hAnsi="Calibri" w:cs="Calibri" w:eastAsia="Times New Roman"/>
          <w:color w:val="000000"/>
          <w:sz w:val="27"/>
        </w:rPr>
        <w:pStyle w:val="P68B1DB1-Normal2"/>
      </w:pPr>
      <w:r>
        <w:t xml:space="preserve">- Quality of interviews; and</w:t>
      </w:r>
    </w:p>
    <w:p>
      <w:pPr>
        <w:spacing w:before="120" w:after="120" w:line="240" w:lineRule="auto"/>
        <w:ind w:left="1800" w:right="120"/>
        <w:jc w:val="both"/>
        <w:rPr>
          <w:rFonts w:ascii="Calibri" w:hAnsi="Calibri" w:cs="Calibri" w:eastAsia="Times New Roman"/>
          <w:color w:val="000000"/>
          <w:sz w:val="27"/>
        </w:rPr>
        <w:pStyle w:val="P68B1DB1-Normal2"/>
      </w:pPr>
      <w:r>
        <w:t xml:space="preserve">- Grammar assertiveness;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Not applicable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Delivery time</w:t>
      </w:r>
      <w:r>
        <w:t xml:space="preserve">: Monthly.</w:t>
      </w:r>
    </w:p>
    <w:p>
      <w:pPr>
        <w:spacing w:before="120" w:after="120" w:line="240" w:lineRule="auto"/>
        <w:ind w:left="180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1.5.4. International </w:t>
      </w:r>
      <w:r>
        <w:rPr>
          <w:i/>
        </w:rPr>
        <w:t xml:space="preserve">Clipping </w:t>
      </w:r>
      <w:r>
        <w:t xml:space="preserve">- Newspapers, Magazines and Portals</w:t>
      </w:r>
      <w:bookmarkEnd w:id="16"/>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Daily clipping of news content, related to topics of interest to the agency, from the definition of keywords, published in international reference newspapers, magazines of national circulation, news portals and regional newspapers.</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01 (one) daily electronic newsletter with the identified news content, sent by electronic mail to the list of emails defined by the agency.</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Consistency of quantitative and qualitative analyses;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Consistency of the analysis of results;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Assertiveness of conclusions;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Enforceability of recommendations;</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Organization, clarity and objectivity of the information and data presented;</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-Scope of Monitoring</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Characteristics considered in the complexity classification</w:t>
      </w:r>
      <w:r>
        <w:t xml:space="preserve">: Not applicable</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Delivery time</w:t>
      </w:r>
      <w:r>
        <w:t xml:space="preserve">: Monthly.</w:t>
      </w:r>
    </w:p>
    <w:p>
      <w:pPr>
        <w:spacing w:before="120" w:after="120" w:line="240" w:lineRule="auto"/>
        <w:ind w:left="120" w:right="120" w:firstLine="1418"/>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bookmarkStart w:id="17" w:name="_Toc51774376"/>
      <w:r>
        <w:t xml:space="preserve">1.6. Content Production</w:t>
      </w:r>
      <w:bookmarkEnd w:id="17"/>
    </w:p>
    <w:p>
      <w:pPr>
        <w:spacing w:before="120" w:after="120" w:line="240" w:lineRule="auto"/>
        <w:ind w:left="120" w:right="120"/>
        <w:jc w:val="both"/>
        <w:rPr>
          <w:rFonts w:ascii="Calibri" w:hAnsi="Calibri" w:cs="Calibri" w:eastAsia="Times New Roman"/>
          <w:color w:val="000000"/>
          <w:sz w:val="27"/>
        </w:rPr>
        <w:pStyle w:val="P68B1DB1-Normal8"/>
      </w:pPr>
      <w:bookmarkStart w:id="18" w:name="_Toc51774377"/>
      <w:r>
        <w:t xml:space="preserve">1.6.1. Preparation of Text in Foreign Language</w:t>
      </w:r>
      <w:bookmarkEnd w:id="18"/>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Preparation, editing, revision and updating of journalistic or institutional texts aimed at internal or external public, not merely translation, but with respect to the common terms and constructions of foreign language communication, based on consultations with official sources (authorities and/or technicians of public agencies in the various spheres and powers), representatives of the private sector, specialists, as well as reports and other government documents, books, </w:t>
      </w:r>
      <w:r>
        <w:rPr>
          <w:i/>
        </w:rPr>
        <w:t>websites</w:t>
      </w:r>
      <w:r>
        <w:t xml:space="preserve">, academic studies, publications of sectoral entities, statistical research and other content and printed or electronic publications. The texts produced can be used as press </w:t>
      </w:r>
      <w:r>
        <w:rPr>
          <w:i/>
        </w:rPr>
        <w:t>releases</w:t>
      </w:r>
      <w:r>
        <w:t xml:space="preserve">, agenda notices, opinion articles, digital environment,positionpapers, </w:t>
      </w:r>
      <w:r>
        <w:rPr>
          <w:i/>
        </w:rPr>
        <w:t>briefing</w:t>
      </w:r>
      <w:r>
        <w:t xml:space="preserve">, white</w:t>
      </w:r>
      <w:r>
        <w:rPr>
          <w:i/>
        </w:rPr>
        <w:t xml:space="preserve"> paper</w:t>
      </w:r>
      <w:r>
        <w:t xml:space="preserve">, manuals, booklets, dossiers, institutional texts for publications and/or presentations, question and answer guide, key messages, among others.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Text produced and revised, indicating the sources consulted.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Adoption of the sources and inputs provided by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 Timeliness in meeting and responding to the needs and/or problems presented by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 Quality of texts regarding spelling and legislation;</w:t>
      </w:r>
    </w:p>
    <w:p>
      <w:pPr>
        <w:spacing w:before="120" w:after="120" w:line="240" w:lineRule="auto"/>
        <w:ind w:left="1800" w:right="120"/>
        <w:jc w:val="both"/>
        <w:rPr>
          <w:rFonts w:ascii="Calibri" w:hAnsi="Calibri" w:cs="Calibri" w:eastAsia="Times New Roman"/>
          <w:color w:val="000000"/>
          <w:sz w:val="27"/>
        </w:rPr>
        <w:pStyle w:val="P68B1DB1-Normal2"/>
      </w:pPr>
      <w:r>
        <w:t xml:space="preserve">Reliability of sources</w:t>
      </w:r>
    </w:p>
    <w:p>
      <w:pPr>
        <w:spacing w:before="120" w:after="120" w:line="240" w:lineRule="auto"/>
        <w:ind w:left="1800" w:right="120"/>
        <w:jc w:val="both"/>
        <w:rPr>
          <w:rFonts w:ascii="Calibri" w:hAnsi="Calibri" w:cs="Calibri" w:eastAsia="Times New Roman"/>
          <w:color w:val="000000"/>
          <w:sz w:val="27"/>
        </w:rPr>
        <w:pStyle w:val="P68B1DB1-Normal2"/>
      </w:pPr>
      <w:r>
        <w:t xml:space="preserve">- Assertiveness of conclusions;</w:t>
      </w:r>
    </w:p>
    <w:p>
      <w:pPr>
        <w:spacing w:before="120" w:after="120" w:line="240" w:lineRule="auto"/>
        <w:ind w:left="1800" w:right="120"/>
        <w:jc w:val="both"/>
        <w:rPr>
          <w:rFonts w:ascii="Calibri" w:hAnsi="Calibri" w:cs="Calibri" w:eastAsia="Times New Roman"/>
          <w:color w:val="000000"/>
          <w:sz w:val="27"/>
        </w:rPr>
        <w:pStyle w:val="P68B1DB1-Normal2"/>
      </w:pPr>
      <w:r>
        <w:t xml:space="preserve">- Enforceability of recommendations;</w:t>
      </w:r>
    </w:p>
    <w:p>
      <w:pPr>
        <w:spacing w:before="120" w:after="120" w:line="240" w:lineRule="auto"/>
        <w:ind w:left="1800" w:right="120"/>
        <w:jc w:val="both"/>
        <w:rPr>
          <w:rFonts w:ascii="Calibri" w:hAnsi="Calibri" w:cs="Calibri" w:eastAsia="Times New Roman"/>
          <w:color w:val="000000"/>
          <w:sz w:val="27"/>
        </w:rPr>
        <w:pStyle w:val="P68B1DB1-Normal2"/>
      </w:pPr>
      <w:r>
        <w:t xml:space="preserve">- Organization, clarity and objectivity of the information and data presented;</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Type of text and content;</w:t>
      </w:r>
    </w:p>
    <w:p>
      <w:pPr>
        <w:spacing w:before="120" w:after="120" w:line="240" w:lineRule="auto"/>
        <w:ind w:left="1800" w:right="120"/>
        <w:jc w:val="both"/>
        <w:rPr>
          <w:rFonts w:ascii="Calibri" w:hAnsi="Calibri" w:cs="Calibri" w:eastAsia="Times New Roman"/>
          <w:color w:val="000000"/>
          <w:sz w:val="27"/>
        </w:rPr>
        <w:pStyle w:val="P68B1DB1-Normal2"/>
      </w:pPr>
      <w:r>
        <w:t xml:space="preserve">Number of Sources;</w:t>
      </w:r>
    </w:p>
    <w:p>
      <w:pPr>
        <w:spacing w:before="120" w:after="120" w:line="240" w:lineRule="auto"/>
        <w:ind w:left="1800" w:right="120"/>
        <w:jc w:val="both"/>
        <w:rPr>
          <w:rFonts w:ascii="Calibri" w:hAnsi="Calibri" w:cs="Calibri" w:eastAsia="Times New Roman"/>
          <w:color w:val="000000"/>
          <w:sz w:val="27"/>
        </w:rPr>
        <w:pStyle w:val="P68B1DB1-Normal2"/>
      </w:pPr>
      <w:r>
        <w:t xml:space="preserve">- Type of calculation;</w:t>
      </w:r>
    </w:p>
    <w:p>
      <w:pPr>
        <w:spacing w:before="120" w:after="120" w:line="240" w:lineRule="auto"/>
        <w:ind w:left="1800" w:right="120"/>
        <w:jc w:val="both"/>
        <w:rPr>
          <w:rFonts w:ascii="Calibri" w:hAnsi="Calibri" w:cs="Calibri" w:eastAsia="Times New Roman"/>
          <w:color w:val="000000"/>
          <w:sz w:val="27"/>
        </w:rPr>
        <w:pStyle w:val="P68B1DB1-Normal2"/>
      </w:pPr>
      <w:r>
        <w:t xml:space="preserve">-Number of pages;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Original text, with factual content.</w:t>
            </w:r>
          </w:p>
          <w:p>
            <w:pPr>
              <w:spacing w:before="120" w:after="120" w:line="240" w:lineRule="auto"/>
              <w:ind w:left="120" w:right="120"/>
              <w:jc w:val="both"/>
              <w:rPr>
                <w:rFonts w:ascii="Calibri" w:hAnsi="Calibri" w:cs="Calibri" w:eastAsia="Times New Roman"/>
                <w:color w:val="000000"/>
                <w:sz w:val="24"/>
              </w:rPr>
              <w:pStyle w:val="P68B1DB1-Normal4"/>
            </w:pPr>
            <w:r>
              <w:t xml:space="preserve">Formulated from information obtained from up to 2 (two) sources.</w:t>
            </w:r>
          </w:p>
          <w:p>
            <w:pPr>
              <w:spacing w:before="120" w:after="120" w:line="240" w:lineRule="auto"/>
              <w:ind w:left="120" w:right="120"/>
              <w:jc w:val="both"/>
              <w:rPr>
                <w:rFonts w:ascii="Calibri" w:hAnsi="Calibri" w:cs="Calibri" w:eastAsia="Times New Roman"/>
                <w:color w:val="000000"/>
                <w:sz w:val="24"/>
              </w:rPr>
              <w:pStyle w:val="P68B1DB1-Normal4"/>
            </w:pPr>
            <w:r>
              <w:t xml:space="preserve">Containing 3 (three)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2 (two) business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Original text, with factual content.</w:t>
            </w:r>
          </w:p>
          <w:p>
            <w:pPr>
              <w:spacing w:before="120" w:after="120" w:line="240" w:lineRule="auto"/>
              <w:ind w:left="120" w:right="120"/>
              <w:jc w:val="both"/>
              <w:rPr>
                <w:rFonts w:ascii="Calibri" w:hAnsi="Calibri" w:cs="Calibri" w:eastAsia="Times New Roman"/>
                <w:color w:val="000000"/>
                <w:sz w:val="24"/>
              </w:rPr>
              <w:pStyle w:val="P68B1DB1-Normal4"/>
            </w:pPr>
            <w:r>
              <w:t xml:space="preserve">Formulated from information obtained in consultation with 3 (three) or 4 (four) sources.</w:t>
            </w:r>
          </w:p>
          <w:p>
            <w:pPr>
              <w:spacing w:before="120" w:after="120" w:line="240" w:lineRule="auto"/>
              <w:ind w:left="120" w:right="120"/>
              <w:jc w:val="both"/>
              <w:rPr>
                <w:rFonts w:ascii="Calibri" w:hAnsi="Calibri" w:cs="Calibri" w:eastAsia="Times New Roman"/>
                <w:color w:val="000000"/>
                <w:sz w:val="24"/>
              </w:rPr>
              <w:pStyle w:val="P68B1DB1-Normal4"/>
            </w:pPr>
            <w:r>
              <w:t xml:space="preserve">From 4 (four) to 10 (ten)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3 working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Original text, with factual content.</w:t>
            </w:r>
          </w:p>
          <w:p>
            <w:pPr>
              <w:spacing w:before="120" w:after="120" w:line="240" w:lineRule="auto"/>
              <w:ind w:left="120" w:right="120"/>
              <w:jc w:val="both"/>
              <w:rPr>
                <w:rFonts w:ascii="Calibri" w:hAnsi="Calibri" w:cs="Calibri" w:eastAsia="Times New Roman"/>
                <w:color w:val="000000"/>
                <w:sz w:val="24"/>
              </w:rPr>
              <w:pStyle w:val="P68B1DB1-Normal4"/>
            </w:pPr>
            <w:r>
              <w:t xml:space="preserve">Formulated from information obtained in consultation with 5 (five) or more sources.</w:t>
            </w:r>
          </w:p>
          <w:p>
            <w:pPr>
              <w:spacing w:before="120" w:after="120" w:line="240" w:lineRule="auto"/>
              <w:ind w:left="120" w:right="120"/>
              <w:jc w:val="both"/>
              <w:rPr>
                <w:rFonts w:ascii="Calibri" w:hAnsi="Calibri" w:cs="Calibri" w:eastAsia="Times New Roman"/>
                <w:color w:val="000000"/>
                <w:sz w:val="24"/>
              </w:rPr>
              <w:pStyle w:val="P68B1DB1-Normal4"/>
            </w:pPr>
            <w:r>
              <w:t xml:space="preserve">Recommendations: comparison and checking between divergent information; interviews with specialists in a given subject or with specialized knowledge in a given subject, above the standard professional's curricular knowledge and also the possibility of consulting reference materials written in other languages.</w:t>
            </w:r>
          </w:p>
          <w:p>
            <w:pPr>
              <w:spacing w:before="120" w:after="120" w:line="240" w:lineRule="auto"/>
              <w:ind w:left="120" w:right="120"/>
              <w:jc w:val="both"/>
              <w:rPr>
                <w:rFonts w:ascii="Calibri" w:hAnsi="Calibri" w:cs="Calibri" w:eastAsia="Times New Roman"/>
                <w:color w:val="000000"/>
                <w:sz w:val="24"/>
              </w:rPr>
              <w:pStyle w:val="P68B1DB1-Normal4"/>
            </w:pPr>
            <w:r>
              <w:t xml:space="preserve">Above 10 (ten)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7 (seven) business days.</w:t>
            </w:r>
          </w:p>
        </w:tc>
      </w:tr>
    </w:tbl>
    <w:p>
      <w:pPr>
        <w:spacing w:before="120" w:after="120" w:line="240" w:lineRule="auto"/>
        <w:ind w:left="120" w:right="120"/>
        <w:jc w:val="both"/>
        <w:rPr>
          <w:rFonts w:ascii="Calibri" w:hAnsi="Calibri" w:cs="Calibri" w:eastAsia="Times New Roman"/>
          <w:color w:val="000000"/>
          <w:sz w:val="27"/>
        </w:rPr>
        <w:pStyle w:val="P68B1DB1-Normal13"/>
      </w:pPr>
      <w:r>
        <w:rPr>
          <w:sz w:val="27"/>
        </w:rPr>
        <w:br/>
      </w:r>
      <w:r>
        <w:rPr>
          <w:b/>
          <w:sz w:val="24"/>
        </w:rPr>
        <w:t xml:space="preserve">1.6.2. International video report (Video </w:t>
      </w:r>
      <w:r>
        <w:rPr>
          <w:b/>
          <w:i/>
          <w:sz w:val="24"/>
        </w:rPr>
        <w:t>Release</w:t>
      </w:r>
      <w:r>
        <w:rPr>
          <w:b/>
          <w:sz w:val="24"/>
        </w:rPr>
        <w: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Video report prepared from </w:t>
      </w:r>
      <w:r>
        <w:rPr>
          <w:i/>
        </w:rPr>
        <w:t>briefing</w:t>
      </w:r>
      <w:r>
        <w:t xml:space="preserve"> and agenda previously approved by EMBRATUR.The editing of the raw material should be made from a script created for the realization of the video. The characters and professionals involved must assign the right to use image and copyright in a text file. The cost should provide for the necessary staff for the production of the video.</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Deliveries</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Text file containing the script approved by EMBRATUR, video file in high resolution (Full HD or UHD 4K), copy of the copyright and use of the assigned image.</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Technical and editorial quality of the material in relation to the planned agenda and the approved script.</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 Number of days of fundraising;</w:t>
      </w:r>
    </w:p>
    <w:p>
      <w:pPr>
        <w:spacing w:before="120" w:after="120" w:line="240" w:lineRule="auto"/>
        <w:ind w:left="1800" w:right="120"/>
        <w:jc w:val="both"/>
        <w:rPr>
          <w:rFonts w:ascii="Calibri" w:hAnsi="Calibri" w:cs="Calibri" w:eastAsia="Times New Roman"/>
          <w:color w:val="000000"/>
          <w:sz w:val="27"/>
        </w:rPr>
        <w:pStyle w:val="P68B1DB1-Normal2"/>
      </w:pPr>
      <w:r>
        <w:t xml:space="preserve">- Team used in production;</w:t>
      </w:r>
    </w:p>
    <w:p>
      <w:pPr>
        <w:spacing w:before="120" w:after="120" w:line="240" w:lineRule="auto"/>
        <w:ind w:left="1800" w:right="120"/>
        <w:jc w:val="both"/>
        <w:rPr>
          <w:rFonts w:ascii="Calibri" w:hAnsi="Calibri" w:cs="Calibri" w:eastAsia="Times New Roman"/>
          <w:color w:val="000000"/>
          <w:sz w:val="27"/>
        </w:rPr>
        <w:pStyle w:val="P68B1DB1-Normal2"/>
      </w:pPr>
      <w:r>
        <w:t xml:space="preserve">- Complementary post-production services; and</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7597"/>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2 (two) days of capture and production.</w:t>
            </w:r>
          </w:p>
          <w:p>
            <w:pPr>
              <w:spacing w:before="120" w:after="120" w:line="240" w:lineRule="auto"/>
              <w:ind w:left="120" w:right="120"/>
              <w:jc w:val="both"/>
              <w:rPr>
                <w:rFonts w:ascii="Calibri" w:hAnsi="Calibri" w:cs="Calibri" w:eastAsia="Times New Roman"/>
                <w:color w:val="000000"/>
                <w:sz w:val="24"/>
              </w:rPr>
              <w:pStyle w:val="P68B1DB1-Normal4"/>
            </w:pPr>
            <w:r>
              <w:t xml:space="preserve">Team composed of 1 (one) reporter, 1 (one) cameraman, 1 (one) producer, 1 (one) assistant.</w:t>
            </w:r>
          </w:p>
          <w:p>
            <w:pPr>
              <w:spacing w:before="120" w:after="120" w:line="240" w:lineRule="auto"/>
              <w:ind w:left="120" w:right="120"/>
              <w:jc w:val="both"/>
              <w:rPr>
                <w:rFonts w:ascii="Calibri" w:hAnsi="Calibri" w:cs="Calibri" w:eastAsia="Times New Roman"/>
                <w:color w:val="000000"/>
                <w:sz w:val="24"/>
              </w:rPr>
              <w:pStyle w:val="P68B1DB1-Normal4"/>
            </w:pPr>
            <w:r>
              <w:t xml:space="preserve">Post-production restricted to editing the captured material.</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5 (five) days after the collection.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3 (three) days of capture and production.</w:t>
            </w:r>
          </w:p>
          <w:p>
            <w:pPr>
              <w:spacing w:before="120" w:after="120" w:line="240" w:lineRule="auto"/>
              <w:ind w:left="120" w:right="120"/>
              <w:jc w:val="both"/>
              <w:rPr>
                <w:rFonts w:ascii="Calibri" w:hAnsi="Calibri" w:cs="Calibri" w:eastAsia="Times New Roman"/>
                <w:color w:val="000000"/>
                <w:sz w:val="24"/>
              </w:rPr>
              <w:pStyle w:val="P68B1DB1-Normal4"/>
            </w:pPr>
            <w:r>
              <w:t xml:space="preserve">Team composed of 1 (one) reporter, 1 (one) cameraman, 1 (one) producer, 2 (two) assistants.</w:t>
            </w:r>
          </w:p>
          <w:p>
            <w:pPr>
              <w:spacing w:before="120" w:after="120" w:line="240" w:lineRule="auto"/>
              <w:ind w:left="120" w:right="120"/>
              <w:jc w:val="both"/>
              <w:rPr>
                <w:rFonts w:ascii="Calibri" w:hAnsi="Calibri" w:cs="Calibri" w:eastAsia="Times New Roman"/>
                <w:color w:val="000000"/>
                <w:sz w:val="24"/>
              </w:rPr>
              <w:pStyle w:val="P68B1DB1-Normal4"/>
            </w:pPr>
            <w:r>
              <w:t xml:space="preserve">Post-production with editing of the captured material and sound.</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10 (ten) days after the end of the funding.</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3 (three) days of capture and production.</w:t>
            </w:r>
          </w:p>
          <w:p>
            <w:pPr>
              <w:spacing w:before="120" w:after="120" w:line="240" w:lineRule="auto"/>
              <w:ind w:left="120" w:right="120"/>
              <w:jc w:val="both"/>
              <w:rPr>
                <w:rFonts w:ascii="Calibri" w:hAnsi="Calibri" w:cs="Calibri" w:eastAsia="Times New Roman"/>
                <w:color w:val="000000"/>
                <w:sz w:val="24"/>
              </w:rPr>
              <w:pStyle w:val="P68B1DB1-Normal4"/>
            </w:pPr>
            <w:r>
              <w:t xml:space="preserve">Team composed of 1 (one) director of photography, 1 (one) photographer, 1 (one) reporter, 1 (one) cameraman, 1 (one) producer, 4 (four) assistants.</w:t>
            </w:r>
          </w:p>
          <w:p>
            <w:pPr>
              <w:spacing w:before="120" w:after="120" w:line="240" w:lineRule="auto"/>
              <w:ind w:left="120" w:right="120"/>
              <w:jc w:val="both"/>
              <w:rPr>
                <w:rFonts w:ascii="Calibri" w:hAnsi="Calibri" w:cs="Calibri" w:eastAsia="Times New Roman"/>
                <w:color w:val="000000"/>
                <w:sz w:val="24"/>
              </w:rPr>
              <w:pStyle w:val="P68B1DB1-Normal4"/>
            </w:pPr>
            <w:r>
              <w:t xml:space="preserve">Post-production with editing of captured material, sound and computer graphics.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15 (fifteen) days after the end of the funding.</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bookmarkStart w:id="19" w:name="_Toc51774383"/>
      <w:r>
        <w:t xml:space="preserve">1.7. Crisis Prevention</w:t>
      </w:r>
    </w:p>
    <w:p>
      <w:pPr>
        <w:spacing w:before="120" w:after="120" w:line="240" w:lineRule="auto"/>
        <w:ind w:left="120" w:right="120"/>
        <w:jc w:val="both"/>
        <w:rPr>
          <w:rFonts w:ascii="Calibri" w:hAnsi="Calibri" w:cs="Calibri" w:eastAsia="Times New Roman"/>
          <w:color w:val="000000"/>
          <w:sz w:val="27"/>
        </w:rPr>
        <w:pStyle w:val="P68B1DB1-Normal8"/>
      </w:pPr>
      <w:bookmarkStart w:id="20" w:name="_Toc51774384"/>
      <w:r>
        <w:t xml:space="preserve">1.7.1. Crisis Manual</w:t>
      </w:r>
      <w:bookmarkEnd w:id="20"/>
    </w:p>
    <w:p>
      <w:pPr>
        <w:spacing w:before="120" w:after="120" w:line="240" w:lineRule="auto"/>
        <w:ind w:left="1800" w:right="120"/>
        <w:jc w:val="both"/>
        <w:rPr>
          <w:rFonts w:ascii="Calibri" w:hAnsi="Calibri" w:cs="Calibri" w:eastAsia="Times New Roman"/>
          <w:color w:val="000000"/>
          <w:sz w:val="27"/>
        </w:rPr>
        <w:pStyle w:val="P68B1DB1-Normal2"/>
      </w:pPr>
      <w:r>
        <w:rPr>
          <w:u w:val="single"/>
        </w:rPr>
        <w:t>Descriptive</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Guide for consultation and training of leaders in crisis prevention and management policies, within the scope of EMBRATUR, contemplating crisis classification, processes and procedures. It should gather the theoretical concepts on crisis management and communication tools to be used during the crisis.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Delivery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Crisis Manual.</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Aspects to be considered in the assessment of the activity</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-Compliance with the deadline;</w:t>
      </w:r>
    </w:p>
    <w:p>
      <w:pPr>
        <w:spacing w:before="120" w:after="120" w:line="240" w:lineRule="auto"/>
        <w:ind w:left="1800" w:right="120"/>
        <w:jc w:val="both"/>
        <w:rPr>
          <w:rFonts w:ascii="Calibri" w:hAnsi="Calibri" w:cs="Calibri" w:eastAsia="Times New Roman"/>
          <w:color w:val="000000"/>
          <w:sz w:val="27"/>
        </w:rPr>
        <w:pStyle w:val="P68B1DB1-Normal2"/>
      </w:pPr>
      <w:r>
        <w:t xml:space="preserve">- Consistency, organization and clarity of information and its adherence to EMBRATUR's action themes.</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 xml:space="preserve">Characteristics considered in the complexity classification</w:t>
      </w:r>
      <w:r>
        <w:t>;</w:t>
      </w:r>
    </w:p>
    <w:p>
      <w:pPr>
        <w:spacing w:before="120" w:after="120" w:line="240" w:lineRule="auto"/>
        <w:ind w:left="1800" w:right="120"/>
        <w:jc w:val="both"/>
        <w:rPr>
          <w:rFonts w:ascii="Calibri" w:hAnsi="Calibri" w:cs="Calibri" w:eastAsia="Times New Roman"/>
          <w:color w:val="000000"/>
          <w:sz w:val="27"/>
        </w:rPr>
        <w:pStyle w:val="P68B1DB1-Normal2"/>
      </w:pPr>
      <w:r>
        <w:t xml:space="preserve">-Number of pages</w:t>
      </w:r>
    </w:p>
    <w:p>
      <w:pPr>
        <w:spacing w:before="120" w:after="120" w:line="240" w:lineRule="auto"/>
        <w:ind w:left="1800" w:right="120"/>
        <w:jc w:val="both"/>
        <w:rPr>
          <w:rFonts w:ascii="Calibri" w:hAnsi="Calibri" w:cs="Calibri" w:eastAsia="Times New Roman"/>
          <w:color w:val="000000"/>
          <w:sz w:val="27"/>
        </w:rPr>
        <w:pStyle w:val="P68B1DB1-Normal2"/>
      </w:pPr>
      <w:r>
        <w:t xml:space="preserve">-Delivery term.</w:t>
      </w:r>
    </w:p>
    <w:p>
      <w:pPr>
        <w:spacing w:before="120" w:after="120" w:line="240" w:lineRule="auto"/>
        <w:ind w:left="1800" w:right="120"/>
        <w:jc w:val="both"/>
        <w:rPr>
          <w:rFonts w:ascii="Calibri" w:hAnsi="Calibri" w:cs="Calibri" w:eastAsia="Times New Roman"/>
          <w:color w:val="000000"/>
          <w:sz w:val="27"/>
        </w:rPr>
        <w:pStyle w:val="P68B1DB1-Normal2"/>
      </w:pPr>
      <w:r>
        <w:rPr>
          <w:u w:val="single"/>
        </w:rPr>
        <w:t>Complexity</w:t>
      </w:r>
      <w:r>
        <w: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5100"/>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Fifty (50)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30 (thirty) business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51 (fifty-one) to 100 (one hundred)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60 (sixty) business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101 (one hundred and one) to 200 (two hundred) pages.</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90 (ninety) days.</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9"/>
      </w:pPr>
      <w:r>
        <w:t xml:space="preserve">1.8. </w:t>
      </w:r>
      <w:bookmarkEnd w:id="19"/>
      <w:r>
        <w:t xml:space="preserve">Planning of international institutional action</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Descriptive:</w:t>
      </w:r>
      <w:r>
        <w:t xml:space="preserve"> Idealization of a project to carry out an international event of an institutional nature, considering the suitability of the action to the scenario, objectives, concept, target audiences, indication of place and date.</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Deliverable:</w:t>
      </w:r>
      <w:r>
        <w:t xml:space="preserve"> Event project and detailed budget.</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Aspects to be considered in the quality assessment:</w:t>
      </w:r>
      <w:r>
        <w:t xml:space="preserve"> adequacy of the project to the work briefing and alignment with the strategic planning of the agency.</w:t>
      </w:r>
    </w:p>
    <w:p>
      <w:pPr>
        <w:spacing w:before="120" w:after="120" w:line="240" w:lineRule="auto"/>
        <w:ind w:left="120" w:right="120" w:firstLine="1418"/>
        <w:jc w:val="both"/>
        <w:rPr>
          <w:rFonts w:ascii="Calibri" w:hAnsi="Calibri" w:cs="Calibri" w:eastAsia="Times New Roman"/>
          <w:color w:val="000000"/>
          <w:sz w:val="27"/>
        </w:rPr>
        <w:pStyle w:val="P68B1DB1-Normal2"/>
      </w:pPr>
      <w:r>
        <w:rPr>
          <w:u w:val="single"/>
        </w:rPr>
        <w:t xml:space="preserve">Complexity classification method:</w:t>
      </w:r>
      <w:r>
        <w:t xml:space="preserve"> number of guests.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91"/>
        <w:gridCol w:w="4840"/>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Up to 25 (twenty-five) people.</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10 (ten)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From 26 (twenty-six) to 50 (fifty) people.</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10 (ten) days.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Above 51 (fifty-one) people.</w:t>
            </w:r>
          </w:p>
          <w:p>
            <w:pPr>
              <w:spacing w:before="120" w:after="120" w:line="240" w:lineRule="auto"/>
              <w:ind w:left="120" w:right="120"/>
              <w:jc w:val="both"/>
              <w:rPr>
                <w:rFonts w:ascii="Calibri" w:hAnsi="Calibri" w:cs="Calibri" w:eastAsia="Times New Roman"/>
                <w:color w:val="000000"/>
                <w:sz w:val="24"/>
              </w:rPr>
              <w:pStyle w:val="P68B1DB1-Normal4"/>
            </w:pPr>
            <w:r>
              <w:t xml:space="preserve">Delivery time: Up to 15 (fifteen) days.</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2. ANNUAL EXECUTION ESTIMATE SPREADSHEET AND UNIT PRICES OF ESSENTIAL PRODUCTS AND SERVICES</w:t>
      </w:r>
      <w:bookmarkEnd w:id="1"/>
    </w:p>
    <w:tbl>
      <w:tblPr>
        <w:tblW w:w="1437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0"/>
        <w:gridCol w:w="3674"/>
        <w:gridCol w:w="2537"/>
        <w:gridCol w:w="955"/>
        <w:gridCol w:w="1758"/>
        <w:gridCol w:w="1451"/>
        <w:gridCol w:w="3225"/>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N°</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Product/Service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Amount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Unit price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Total Price</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Place of execution of the product (reference for pricing)</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Demand Management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Brazil</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Coordination of Demands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Brazil</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1.3</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Communication Strategy</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1.3.1.</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Corporate Communication Plan</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1.3.2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Map of International Influencers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Press Advisory</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Attendance to International Communication Vehicles</w:t>
            </w:r>
          </w:p>
        </w:tc>
      </w:tr>
      <w:bookmarkEnd w:id="6"/>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Highest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Press Conference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Press Conference in a Digital Environment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Presstrip/Tour Planning</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1.4.5</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Presstrip/Tour Tracking</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Brazil</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1.4.6</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rPr>
                <w:i/>
              </w:rPr>
              <w:t>One-to-one</w:t>
            </w:r>
            <w:r>
              <w:t xml:space="preserve"> interviews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6</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1.4.7</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Spokesperson Advisory and Event Follow-Up</w:t>
            </w:r>
          </w:p>
        </w:tc>
      </w:tr>
      <w:bookmarkEnd w:id="11"/>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Complexity</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1.5</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Monitoring and Analysis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1.5.1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Content Monitoring in Social Networks, Blogs and News Portals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1.5.2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Analysis of Newspapers, Magazines, Blogs, Social Networks and News Portals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1.5.3</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Image Audit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1.5.4</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w:t>
            </w:r>
            <w:r>
              <w:rPr>
                <w:i/>
              </w:rPr>
              <w:t xml:space="preserve">Clipping </w:t>
            </w:r>
            <w:r>
              <w:t xml:space="preserve">- Newspapers, Magazines and Portals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1.6</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Content Production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1.6.1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Elaboration of Text in Foreign Language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24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p>
            <w:pPr>
              <w:spacing w:before="120" w:after="120" w:line="240" w:lineRule="auto"/>
              <w:ind w:left="120" w:right="120"/>
              <w:jc w:val="center"/>
              <w:rPr>
                <w:rFonts w:ascii="Calibri" w:hAnsi="Calibri" w:cs="Calibri" w:eastAsia="Times New Roman"/>
                <w:color w:val="000000"/>
                <w:sz w:val="24"/>
              </w:rPr>
              <w:pStyle w:val="P68B1DB1-Normal4"/>
            </w:pPr>
            <w:r>
              <w:t>Abroad</w:t>
            </w:r>
          </w:p>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1.6.2</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International video report (Video </w:t>
            </w:r>
            <w:r>
              <w:rPr>
                <w:i/>
              </w:rPr>
              <w:t>Release</w:t>
            </w:r>
            <w:r>
              <w: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6</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1.7</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Crisis Prevention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1.7.1</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Crisis Manual</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Brazil</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1.8</w:t>
            </w:r>
          </w:p>
        </w:tc>
        <w:tc>
          <w:tcPr>
            <w:tcW w:w="0" w:type="auto"/>
            <w:gridSpan w:val="6"/>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7"/>
            </w:pPr>
            <w:r>
              <w:t xml:space="preserve">International Institutional Action Planning</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Complexity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Low</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32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Abroad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Medium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High</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center"/>
              <w:rPr>
                <w:rFonts w:ascii="Calibri" w:hAnsi="Calibri" w:cs="Calibri" w:eastAsia="Times New Roman"/>
                <w:color w:val="000000"/>
                <w:sz w:val="24"/>
              </w:rPr>
              <w:pStyle w:val="P68B1DB1-Normal4"/>
            </w:pPr>
            <w:r>
              <w:t>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bl>
    <w:p>
      <w:pPr>
        <w:spacing w:before="120" w:after="120" w:line="240" w:lineRule="auto"/>
        <w:ind w:left="120" w:right="120"/>
        <w:jc w:val="both"/>
        <w:rPr>
          <w:rFonts w:ascii="Calibri" w:hAnsi="Calibri" w:cs="Calibri" w:eastAsia="Times New Roman"/>
          <w:color w:val="000000"/>
          <w:sz w:val="27"/>
        </w:rPr>
        <w:pStyle w:val="P68B1DB1-Normal2"/>
      </w:pPr>
      <w:r>
        <w:rPr>
          <w:b/>
        </w:rPr>
        <w:t xml:space="preserve">2.1. </w:t>
      </w:r>
      <w:r>
        <w:t xml:space="preserve">The quantities presented in the table above represent only estimates and will be executed to the extent of EMBRATUR's need and convenience, which may readjust them under the same contractual conditions, causing distribution different from that previously established.</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3. CALENDAR OF FAIRS 2022</w:t>
      </w:r>
    </w:p>
    <w:p>
      <w:pPr>
        <w:spacing w:before="120" w:after="120" w:line="240" w:lineRule="auto"/>
        <w:ind w:left="120" w:right="120"/>
        <w:jc w:val="both"/>
        <w:rPr>
          <w:rFonts w:ascii="Calibri" w:hAnsi="Calibri" w:cs="Calibri" w:eastAsia="Times New Roman"/>
          <w:color w:val="000000"/>
          <w:sz w:val="27"/>
        </w:rPr>
      </w:pP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II - COMPLEMENTARY PRODUCTS AND SERVICES</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8"/>
      </w:pPr>
      <w:r>
        <w:t>CATEGORIES</w:t>
      </w:r>
    </w:p>
    <w:tbl>
      <w:tblPr>
        <w:tblW w:w="0" w:type="auto"/>
        <w:tblCellSpacing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37"/>
        <w:gridCol w:w="7491"/>
      </w:tblGrid>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PRODUCT</w:t>
            </w:r>
          </w:p>
          <w:p>
            <w:pPr>
              <w:spacing w:before="120" w:after="120" w:line="240" w:lineRule="auto"/>
              <w:ind w:left="120" w:right="120"/>
              <w:jc w:val="both"/>
              <w:rPr>
                <w:rFonts w:ascii="Calibri" w:hAnsi="Calibri" w:cs="Calibri" w:eastAsia="Times New Roman"/>
                <w:color w:val="000000"/>
                <w:sz w:val="24"/>
              </w:rPr>
              <w:pStyle w:val="P68B1DB1-Normal7"/>
            </w:pPr>
            <w:r>
              <w:t>/SERVICE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FEATURES</w:t>
            </w:r>
          </w:p>
          <w:p>
            <w:pPr>
              <w:spacing w:before="120" w:after="120" w:line="240" w:lineRule="auto"/>
              <w:ind w:left="120" w:right="120"/>
              <w:jc w:val="both"/>
              <w:rPr>
                <w:rFonts w:ascii="Calibri" w:hAnsi="Calibri" w:cs="Calibri" w:eastAsia="Times New Roman"/>
                <w:color w:val="000000"/>
                <w:sz w:val="24"/>
              </w:rPr>
              <w:pStyle w:val="P68B1DB1-Normal4"/>
            </w:pPr>
            <w:r>
              <w:t xml:space="preserve">(To be adjusted according to the specific needs of each contract)</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numPr>
                <w:ilvl w:val="0"/>
                <w:numId w:val="9"/>
              </w:numPr>
              <w:spacing w:before="120" w:after="120" w:line="240" w:lineRule="auto"/>
              <w:ind w:left="840" w:right="120" w:firstLine="0"/>
              <w:jc w:val="both"/>
              <w:rPr>
                <w:rFonts w:ascii="Calibri" w:hAnsi="Calibri" w:cs="Calibri" w:eastAsia="Times New Roman"/>
                <w:color w:val="000000"/>
                <w:sz w:val="24"/>
              </w:rPr>
              <w:pStyle w:val="P68B1DB1-Normal7"/>
            </w:pPr>
            <w:bookmarkStart w:id="21" w:name="_Toc51774391"/>
            <w:r>
              <w:t xml:space="preserve">Physical space for events - rental</w:t>
            </w:r>
            <w:bookmarkEnd w:id="21"/>
          </w:p>
        </w:tc>
      </w:tr>
      <w:tr>
        <w:trPr>
          <w:tblCellSpacing w:w="0" w:type="dxa"/>
        </w:trPr>
        <w:tc>
          <w:tcPr>
            <w:tcW w:w="26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 outside the hotel environment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up to 30 (thirty) places.</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from 31 (thirty-one) to 100 (one hundred) places.</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from 101 (one hundred and one) to 300 (three hundred) places.</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more than 300 (three hundred) places.</w:t>
            </w:r>
          </w:p>
        </w:tc>
      </w:tr>
      <w:tr>
        <w:trPr>
          <w:tblCellSpacing w:w="0" w:type="dxa"/>
        </w:trPr>
        <w:tc>
          <w:tcPr>
            <w:tcW w:w="2625" w:type="dxa"/>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 in a 4 or 5 star hotel environment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up to 30 (thirty) places. (Superior or luxury category).</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from 31 (thirty-one) to 100 (one hundred) places. (Superior or luxury category).</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from 101 (one hundred and one) to 300 (three hundred) places. (Superior or luxury category).</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Physical space with capacity to serve more than 300 (three hundred) places. (Superior or luxury category).</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numPr>
                <w:ilvl w:val="0"/>
                <w:numId w:val="10"/>
              </w:numPr>
              <w:spacing w:before="120" w:after="120" w:line="240" w:lineRule="auto"/>
              <w:ind w:left="840" w:right="120" w:firstLine="0"/>
              <w:jc w:val="both"/>
              <w:rPr>
                <w:rFonts w:ascii="Calibri" w:hAnsi="Calibri" w:cs="Calibri" w:eastAsia="Times New Roman"/>
                <w:color w:val="000000"/>
                <w:sz w:val="24"/>
              </w:rPr>
              <w:pStyle w:val="P68B1DB1-Normal7"/>
            </w:pPr>
            <w:bookmarkStart w:id="22" w:name="_Toc51774392"/>
            <w:r>
              <w:t xml:space="preserve">Physical structures for events</w:t>
            </w:r>
            <w:bookmarkEnd w:id="22"/>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Booth (Basic)</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Design and execution of basic structure assembly with lighting, air conditioning and power points within local safety standards, with floor, header and ceiling. With presentation of prior project for approval and Annotation of Technical Responsibility (art).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Practical, stages, cladding, walkways and access ramps.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Modular structure and/or built of different types of materials, 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Tents and awnings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Sidings, gradients and scaffolding</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Modular and/or constructed materials to perform closure and isolation of areas, 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VIP room</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Design and execution of modular and/or built structure, suitable for accommodation of authorities, artists and important people, 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Reception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Design and execution of modular structure and/or built to receive guests, authorities and other people participating in events, according to the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Bleachers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Design and execution of modular structure and/or built for public accommodation, 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Cones, Ratchets, Easels and Password Dispensers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Various structures and materials for organizing and managing access to venues for events.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Scenography articles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Various articles for the setting of event spaces, in line with different creative projects approved by the contracting party.</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Air Conditioning equipment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High energy efficiency equipment, with technical specifications and technological characteristics suitable for temperature adjustment and for different climatic conditions and various types of spaces, closed and /or open.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Fire extinguisher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Equipment in sizes and quantities appropriate to the most varied sizes of events, in accordance with the rules and guidelines of the fire department, brigade and/or competent authorities.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Mobile sanitary structures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Chemical bathrooms, standard types, luxury and super luxury, in addition to sanitary structures in containers, to meet the most diverse needs, for various audiences, in small, medium and large events.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Wheelchair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Wheelchair special for people with special needs.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First aid kit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Medicines and basic equipment suitable for emergency care at a medical station.</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1"/>
              </w:numPr>
              <w:spacing w:before="120" w:after="120" w:line="240" w:lineRule="auto"/>
              <w:ind w:left="840" w:right="120" w:firstLine="0"/>
              <w:jc w:val="both"/>
              <w:rPr>
                <w:rFonts w:ascii="Calibri" w:hAnsi="Calibri" w:cs="Calibri" w:eastAsia="Times New Roman"/>
                <w:color w:val="000000"/>
                <w:sz w:val="24"/>
              </w:rPr>
              <w:pStyle w:val="P68B1DB1-Normal7"/>
            </w:pPr>
            <w:bookmarkStart w:id="23" w:name="_Toc51774393"/>
            <w:r>
              <w:t xml:space="preserve">Furniture and accessories for events</w:t>
            </w:r>
            <w:bookmarkEnd w:id="23"/>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Furniture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Furniture composed of, but not limited to, armchair, sofa, upholstered chair, office chair, cabinets, safes, meeting table, side table, office table, drawing board, flagpole, trash cans of various types and sizes, container, podium, chair back cover, curtains, flower arrangement, decoration objects, among other items to be specified according to the characteristics of the actions demanded.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Flags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Acquisition and/or manufacture of flags 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Structures for installation of communication parts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Design and execution of modular and/or built structure, for installation and support of stage background, </w:t>
            </w:r>
            <w:r>
              <w:rPr>
                <w:i/>
              </w:rPr>
              <w:t>banner</w:t>
            </w:r>
            <w:r>
              <w:t xml:space="preserve">, header, plates, bands, totems, and other communication and signaling parts, including, but not limited to, boxtruss</w:t>
            </w:r>
            <w:r>
              <w:rPr>
                <w:i/>
              </w:rPr>
              <w:t xml:space="preserve">, metalon</w:t>
            </w:r>
            <w:r>
              <w:t xml:space="preserve">, wooden frame and banner holder.</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2"/>
              </w:numPr>
              <w:spacing w:before="120" w:after="120" w:line="240" w:lineRule="auto"/>
              <w:ind w:left="840" w:right="120" w:firstLine="0"/>
              <w:jc w:val="both"/>
              <w:rPr>
                <w:rFonts w:ascii="Calibri" w:hAnsi="Calibri" w:cs="Calibri" w:eastAsia="Times New Roman"/>
                <w:color w:val="000000"/>
                <w:sz w:val="24"/>
              </w:rPr>
              <w:pStyle w:val="P68B1DB1-Normal7"/>
            </w:pPr>
            <w:bookmarkStart w:id="24" w:name="_Toc51774394"/>
            <w:r>
              <w:t xml:space="preserve">Decoration and event support materials</w:t>
            </w:r>
            <w:bookmarkEnd w:id="24"/>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Adhesive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Special floor stickers and showcases</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Applications/games</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Animated presentations in </w:t>
            </w:r>
            <w:r>
              <w:rPr>
                <w:i/>
              </w:rPr>
              <w:t>ﬂash</w:t>
            </w:r>
            <w:r>
              <w:t xml:space="preserve"> or similar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Presentations in </w:t>
            </w:r>
            <w:r>
              <w:rPr>
                <w:i/>
              </w:rPr>
              <w:t>Powerpoint</w:t>
            </w:r>
            <w:r>
              <w:t xml:space="preserve"> or similar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Arrangement of flowers</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Arrangement of flowers for plenary</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Arrangement of flowers for pulpit</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Flower Entrance Arrangement</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Back light/front light</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Backdrop</w:t>
            </w:r>
            <w:r>
              <w:t xml:space="preserve">/Stage Background</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Banner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Grille Eyelet Banner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Tablet of Paper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Cap</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Botton</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T-shirt</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Pen</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Recycled material pen</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NOTEBOOK COVER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Catalog Cover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Poster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Certificate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Invitation</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Invitation email marketing</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Personalized lanyard for badge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Coated Paper </w:t>
            </w:r>
            <w:r>
              <w:rPr>
                <w:i/>
              </w:rPr>
              <w:t>Badge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PVC badge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Diploma</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Table </w:t>
            </w:r>
            <w:r>
              <w:rPr>
                <w:i/>
              </w:rPr>
              <w:t xml:space="preserve">Display </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Packaging</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Label</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Range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Registration form</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Banner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Simple brochure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Elaborated brochure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Technical brochure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Leaflet</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Event Shed</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Mast for flag</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Plate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Banner holder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Poster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Scratch and Scribble</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Bag</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Stopper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Storyboard</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Tablecloth</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Totem</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Visors</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3"/>
              </w:numPr>
              <w:spacing w:before="120" w:after="120" w:line="240" w:lineRule="auto"/>
              <w:ind w:left="840" w:right="120" w:firstLine="0"/>
              <w:jc w:val="both"/>
              <w:rPr>
                <w:rFonts w:ascii="Calibri" w:hAnsi="Calibri" w:cs="Calibri" w:eastAsia="Times New Roman"/>
                <w:color w:val="000000"/>
                <w:sz w:val="24"/>
              </w:rPr>
              <w:pStyle w:val="P68B1DB1-Normal7"/>
            </w:pPr>
            <w:bookmarkStart w:id="25" w:name="_Toc51774395"/>
            <w:r>
              <w:t xml:space="preserve">Electronic equipment and accessories for events</w:t>
            </w:r>
            <w:bookmarkEnd w:id="25"/>
          </w:p>
        </w:tc>
      </w:tr>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Amplifier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Amplifier for sound system.</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 box</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 box for sound system up to 200 W RMS with tripod.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Closed circuit TV</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Internal filming for safety, with cabling, installation, recording and operator.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Computer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settings: Intel Core i5 or similar processor, 3 GHz speed, HD 500GB, 4GB RAM, CD and DVD player and burner, USB ports and 17-inch LCD monitor.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Remote control with laser pointer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Remote control for changing slides with laser pointer.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Flipchart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block and 02 (two) atomic brushes.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Photocopying machine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Copier machine - franchise of 3,000 (three thousand) copies per day, with inputs.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Generator 115</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Rental, assembly, installation and removal of supersilenced generator set, 115 KVA engine, 60 Hz automatic, microprocessor and transfer board, 75 Db at 1.5 meters, for operation in "continuous" regime, to meet the lighting system, 12 (twelve) hours in operation.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Generator 300</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Leasing, assembly, installation and removal of a supersilenced generator set 300/KVA engine, 60 Hz, microprocessor and transfer board, 75 Db at 1.5 meters, for operation in a "continuous" regime, to serve the stage, 12 (twelve) hours in operation.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Generator 86</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Rental, assembly, installation and removal of a supersilenced generator set 86 KVA engine, 60 Hz automatic, microprocessor and transfer board, 75 Db at 1.5 meters, for emergency lighting.</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Printer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Color Inkjet, with cartridge.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Printer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Color laser, with </w:t>
            </w:r>
            <w:r>
              <w:rPr>
                <w:i/>
              </w:rPr>
              <w:t>toner</w:t>
            </w:r>
            <w:r>
              <w: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Printer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Laser P/B, with </w:t>
            </w:r>
            <w:r>
              <w:rPr>
                <w:i/>
              </w:rPr>
              <w:t>toner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Electrical installations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Installation points of sockets, wiring, adapters and other electrical needs.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IP Link</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Provision of a minimum Internet IP link of 10 MB </w:t>
            </w:r>
            <w:r>
              <w:rPr>
                <w:i/>
              </w:rPr>
              <w:t xml:space="preserve">full </w:t>
            </w:r>
            <w:r>
              <w:t>dedicated.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 desk1</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Sound/sound equipment for open/closed place: sound table with 16 (sixteen) channels, amplifier with power of at least 200 (two hundred) WRMS; 2 (two) speakers of at least 100 (one hundred) WRMS, with tripod and giraffe pedestal for microphone.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 Table 2</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Sound/sound equipment for open/closed place: sound table with 24 (twenty-four) channels, amplifier with power of at least 800 (eight hundred) WRMS; 2 (two) speakers of at least 400 (four hundred) WRMS, with tripod and giraffe pedestal for microphone.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Microphone - Wireless Headset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batteries.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Microphone - wired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base and wiring</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Microphone - </w:t>
            </w:r>
            <w:r>
              <w:rPr>
                <w:i/>
              </w:rPr>
              <w:t>Goosneck</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base and wiring</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Wireless lapel microphone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batteries.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Wireless Microphone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With batteries.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Multi-directional microphone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For choir.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Laptop</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settings: Intel Core i5 or similar processor, 2.3 GHz speed, HD 1TB, 8GB RAM, 10/100/1000 Mbps network card, Wi-Fi and Bluetooth connection, CD and DVD player and burner, and USB inputs.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Pedestal</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Desk</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Pedestal</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To the podium/stage.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Laser Pointer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Luminous pointer for use in projection.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4G internet point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4G internet point via remote modem.</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Internet point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Broadband internet point - ADSL of at least 60 Mbps, with physical point and Wi-Fi router.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Multimedia projector 5,000</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Multimedia projector up to 5,000 (five thousand</w:t>
            </w:r>
            <w:r>
              <w:rPr>
                <w:i/>
              </w:rPr>
              <w:t>)</w:t>
            </w:r>
            <w:r>
              <w:t xml:space="preserve"> ansilumens, 2,000:1 contrast, 1024x768 pixel resolution.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Multimedia projector 10,000</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Multimedia projector up to 10,000 (ten thousand</w:t>
            </w:r>
            <w:r>
              <w:rPr>
                <w:i/>
              </w:rPr>
              <w:t>)</w:t>
            </w:r>
            <w:r>
              <w:t xml:space="preserve"> ansilumens, 10,000:1 contrast, 1024x768 pixel resolution.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Radio Communicator - short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Radio communicator (walktalk </w:t>
            </w:r>
            <w:r>
              <w:rPr>
                <w:i/>
              </w:rPr>
              <w:t xml:space="preserve">type </w:t>
            </w:r>
            <w:r>
              <w:t xml:space="preserve">or similar) of short frequency, batteries included.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Radio Communicator - long</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Radio communicator (Nextel type or similar) without telephone line, with battery and recharger.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Recipients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Ear receptors for simultaneous translation.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Logical network</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Internet wired distribution with logical network assembly (per point).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Router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Router type </w:t>
            </w:r>
            <w:r>
              <w:rPr>
                <w:i/>
              </w:rPr>
              <w:t xml:space="preserve">access point</w:t>
            </w:r>
            <w:r>
              <w:t xml:space="preserve">, for distribution of wireless internet.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VGA selector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Electronic VGA selector to switch projections.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Server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settings: 2.8GHz speed Intel Core 2 Duo processor or similar, 320GB HD, 2GB RAM, CD and DVD player and burner, 17-inch USB and lcd display, DHCP server and two directions IP static route.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Projection screen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For reception of the projection.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Teleprompter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Text reproduction equipment for speakers.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LED TV</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Minimum 42', minimum resolution 1920 x 1080 pixels- 110 or 220 volts, with support.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Mobile ICU</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Mobile emergency service of emergencies and medical emergencies to the participants of the event and eventual displacement of patients to a hospital center, being provided by a mobile ICU, fully equipped, which will be in place for the entire period previously agreed.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 bulb</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hqi75W.</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 bulb</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hqi150W.</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 Table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 table 16 (sixteen) channels.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4"/>
            </w:pPr>
            <w:r>
              <w:t>Movinghead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Movinghead</w:t>
            </w:r>
            <w:r>
              <w:t xml:space="preserve"> 250W.</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par 64</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par 64, with protective screen, focus 01, in aluminum with base for floor and ceiling up to 1,000 (one thousand) watts of power, according to the need of event and environment, gelatin holder, including lamp, cabling and installation and gelatin in 4 (four) colors rough color table.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par 64</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par 64, focus 02, in aluminum with base for floor and ceiling up to 1,000 (one thousand) watts of power, according to the need of event and environment, gelatin holder, including lamp, cabling and installation and gelatin in 4 (four) colors rough color table.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Set Light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Reflector lamp spot set light 500 (five hundred) W.</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Spot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Spot lamp 30 (thirty) W.</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Scenic lighting</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Stage lighting with two (2) 1000 (one thousand) w reflectors, four (4) ellipsoidal, four (4) par 64, focus 3 with diffuser, two (2) </w:t>
            </w:r>
            <w:r>
              <w:rPr>
                <w:i/>
              </w:rPr>
              <w:t xml:space="preserve"> </w:t>
            </w:r>
            <w:r>
              <w:t xml:space="preserve">minibrut of four (4) lamps, one (1) rack and one (1) light table. With a technician with a workload of 10 (ten) hours.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Lighting - Type I</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Lighting for medium-sized </w:t>
            </w:r>
            <w:r>
              <w:rPr>
                <w:i/>
              </w:rPr>
              <w:t>concert</w:t>
            </w:r>
            <w:r>
              <w:t xml:space="preserve">. From 3 (three) to 6 (six) artists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Lighting - type II</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Lighting for small </w:t>
            </w:r>
            <w:r>
              <w:rPr>
                <w:i/>
              </w:rPr>
              <w:t>shows</w:t>
            </w:r>
            <w:r>
              <w:t xml:space="preserve">. Up to 2 (two) artists.</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4"/>
              </w:numPr>
              <w:spacing w:before="120" w:after="120" w:line="240" w:lineRule="auto"/>
              <w:ind w:left="840" w:right="120" w:firstLine="0"/>
              <w:jc w:val="both"/>
              <w:rPr>
                <w:rFonts w:ascii="Calibri" w:hAnsi="Calibri" w:cs="Calibri" w:eastAsia="Times New Roman"/>
                <w:color w:val="000000"/>
                <w:sz w:val="24"/>
              </w:rPr>
              <w:pStyle w:val="P68B1DB1-Normal7"/>
            </w:pPr>
            <w:bookmarkStart w:id="26" w:name="_Toc51774396"/>
            <w:r>
              <w:t xml:space="preserve">Office supplies for events</w:t>
            </w:r>
            <w:bookmarkEnd w:id="26"/>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Eraser for whiteboard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Stapler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Consumable material kit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Intended for operationalization in the event: 5 (five) white erasers, 10 (ten) ballpoint pens (blue or black), 2 (two) 30cm rulers, 100 (one hundred) clips, 10 (ten) black pencils, 2 (two) staplers, 1 (one) staple box, 1 (one) piercer, 1 (one) clip extractor, 2 (two) stick glues, 1 (one) ream of A4 paper, 2 (two) rolls of masking tape.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A4 Paper or Letter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Elasticated paste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Pen Drive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Marker pen.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Whiteboard Brush</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Whiteboard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Blackboard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Paper shredder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According to specification to be approved by EMBRATUR.</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5"/>
              </w:numPr>
              <w:spacing w:before="120" w:after="120" w:line="240" w:lineRule="auto"/>
              <w:ind w:left="840" w:right="120" w:firstLine="0"/>
              <w:jc w:val="both"/>
              <w:rPr>
                <w:rFonts w:ascii="Calibri" w:hAnsi="Calibri" w:cs="Calibri" w:eastAsia="Times New Roman"/>
                <w:color w:val="000000"/>
                <w:sz w:val="24"/>
              </w:rPr>
              <w:pStyle w:val="P68B1DB1-Normal7"/>
            </w:pPr>
            <w:bookmarkStart w:id="27" w:name="_Toc51774397"/>
            <w:r>
              <w:t xml:space="preserve">Human resources for performance in events</w:t>
            </w:r>
            <w:bookmarkEnd w:id="27"/>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Architect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preparing projects and monitoring the assembly and disassembly of decoration structures, tents, stages, booths.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General services assistant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to act in activities of transportation, removal, movement and relocation of furniture, booths, tents, equipment, partitions, miscellaneous boxes, packages, consumables, papers, graphic material and other related activities (once hired, he may not perform the same services as the servant and vice versa).</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Caretaker for the disabled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who performs monitoring and assistance functions for people with disabilities, including assistance in carrying out personal hygiene and food routines; preventive health care, aid in mobility and social coexistence.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Fire Brigade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specially trained to work in an area previously established in prevention, abandonment by the public and fighting the beginning of fire and who is also able to provide first aid to possible victims.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Hosting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organization and control of reservation and reception services, and must lead the team responsible for these actions.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Logistics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planning, controlling and evaluating the efficiency of the means used to transport guests and material resources, in a timely manner and with due care.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Plenary coordinator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support team in plenary meetings, ensuring the organization of work, intermediation of questions, meeting logistical needs of the meeting and other related needs.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Secretary coordinator</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coordinating the secretaries team that will act in the registration and initial attendance of the participants of the events.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Security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supervision, guidance and training of safety teams. It must also analyze safety projects and adopt corrective measures, prepare service schedules, supervise activities, jobs, locations and risk activities, investigate the causes of occurrences, suggest preventive and corrective measures and coordinate emergency plans.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General services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coordinating building maintenance activities and administrative support services to ensure the state of conservation of the physical infrastructure of the facilities and the quality of administrative support services, in addition to the control of work schedules and tasks of general service personnel.</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Transport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transport planning, driver recruitment and supervision, vehicle fleet control, route preparation and control, fleet supply and maintenance.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General coordinator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coordinating and guiding all actions to ensure the perfect execution of the event, and must be present on site full time.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Kitchen Maid</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preparation of coffee, tea or juice, as required, observing the rules of personal hygiene and service, dishwashing and pantry utensils, before and after use, as well as cleaning refrigerators and other appliances, as well as floor and counters of the pantry.</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Typewriter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data entry and transmission, operating printers and microcomputers, recording and transcribing information.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Video Editor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trained to work with professional </w:t>
            </w:r>
            <w:r>
              <w:rPr>
                <w:i/>
              </w:rPr>
              <w:t>software</w:t>
            </w:r>
            <w:r>
              <w:t xml:space="preserve"> and audio and video equipment, being responsible for video editing (image, sound and the insertion of subtitles).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Electrician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installation and inspection of electrical appliances and electricity distribution networks, for the correct functioning and repair, when applicable.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Nurse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collecting information about the patient's health status, through clinical examinations and nursing diagnosis, to establish the conduct to be followed. He is responsible for the hygiene and administration of medicines and dressings. Must have updated registration with the Regional Nursing Council (CRE) and outpatient experience. For actions carried out outside Brazil, advice or similar organization should be sought.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Engineer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with mathematical, technical and scientific knowledge in the creation, improvement and implementation of utilities, such as materials, structures, machines, apparatus, systems or processes. Must have updated registration with the Regional Council of Engineering and Agronomy (CREA). For actions carried out outside Brazil, advice or similar organization should be sought.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Support team</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Team for assembly, disassembly, transportation of material and other services.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Media Training</w:t>
            </w:r>
            <w:r>
              <w:t xml:space="preserve"> Specialist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training spokespersons, aiming to obtain good results in interactions with the press.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Stenotypist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transcription of testimonies, hearings, debates and lectures, in writing and digitalized, with the same speed at which it is spoken and, simultaneously, using the stenotype, special keyboard with 24 keys, connected to a computer, with the aid of transcription </w:t>
            </w:r>
            <w:r>
              <w:rPr>
                <w:i/>
              </w:rPr>
              <w:t>software</w:t>
            </w:r>
            <w:r>
              <w: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Film Maker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specialized in capturing images for various uses, through appropriate equipment, such as camcorders and cameras, lenses and filters.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Photographer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capturing images with the use of photographic cameras and subsequent recording and reproduction on paper and digital media, based on lighting and framing knowledge.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Waiter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attending event participants, serving food and drinks, as well as for maintaining the organization of the tables.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Guide to guide technical visits</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monitoring and guiding visitors to event venues, and must be well informed about the location, schedule and activities to be developed.</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Libras Interpreter (Brazilian Sign Language)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specialized in the communication of the hearing impaired, observing the reference legislation.</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Car valet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driving vehicles from a garage or parking lot, specifying vacancies and filling in identification forms.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First Aider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performing first aid, choosing the best procedures for the first care through diagnosis. With certification recognized by a competent body.</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Courier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for the execution of various tasks, such as the transport of correspondence, documents, objects and values, inside and outside the institutions, in addition to transmitting oral and written messages.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Ringmaster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specialized in conducting formal ceremonies, organizing the protocol, guiding the participants and writing the ceremony script.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Monitor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monitoring and assisting in conducting the activity, clarifying doubts and preparing the space where the activity will be carried out.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Driver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drivers of motor vehicles with due qualification and professional training to carry out activity in the road transport of passengers or in the road transport of cargo.</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Audiovisual Equipment Operator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installation, operation and maintenance of audio and video multimedia equipment, such as televisions, projectors, overhead projectors, notebooks, CD, DVD and </w:t>
            </w:r>
            <w:r>
              <w:rPr>
                <w:i/>
              </w:rPr>
              <w:t>blue-ray</w:t>
            </w:r>
            <w:r>
              <w:t xml:space="preserve"> players, among others.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Skin brightening</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preparation and creation of light project (light map) for events.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Operator of</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operation of the light table and execution of the light project done by the illuminator.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Photocopier machine operator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operation of copying machines, supplying them with the necessary material, regulating them and putting them into operation, to reproduce drawings, tables, documents and other forms.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Operator of</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configuration, operation and monitoring of sound and recording systems, as well as editing, mixing, premastering and restoration of sound records of discs, tapes, video, movies etc. It is also responsible for the creation of sound and recording system projects, preparation, installation and uninstallation of audio equipment and accessories.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Cultural Producer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creation, execution and administration of cultural projects and products, including the creation, organization and direction of artistic projects and products such as dance shows, theater, presentations, cultural and educational projects, productions for cinema and television, festivals of culture, music, dance, artistic shows, events and exhibitions.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Local Event Producer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specialized in organization, planning, guidance and monitoring of all phases of the event of any kind. It is up to the producer to manage all the necessary services for each event, such as lighting, sound, security, accommodation, food, as well as to comply with the schedule and solve any last-minute problems.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 telemarketer?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with experience in making contacts with people, through telephone call, to offer service, product or promotion, solve problems or solve doubts.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Receptionist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specialist in visitor or customer reception, responsible for guiding and controlling the entry of people at an event.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Bilingual receptionist;</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specialist in visitor or customer reception, responsible for guiding and controlling the entry of people into an event, with command of the English language and a second language, which may be French or Spanish.</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Text Review</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with professional training in Social Communication or Letters, with a diploma recognized by the MEC, for the development of activities of analysis, revision and grammatical and style adaptation of the texts related to the event, in Portuguese or foreign languages.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Secretary</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with experience and resourcefulness in secretarial and acting in events, with mastery of the Portuguese language.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Bilingual secretary</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with experience and resourcefulness in secretarial and performance in events, with command of the English language and a second language, which may be French or Spanish.</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Daytime safety</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prepared for the exercise of security activity in various establishments, for daytime work.</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Night safety</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prepared for the exercise of security activity in various establishments, for night work.</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Worker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cleaning and conserving the internal and external areas of the event, including: cleaning the floor, furniture, appliances and equipment; cleaning and disinfecting toilets, washing basins, seats and sinks, changing garbage bags, as well as replacing consumables.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COMPUTER TECHNICIAN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responsible for the creation and installation of a specific link hosted on the Contracting party's website, for disclosure of event information, registration of participants, issuance of reports and other documents.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Lighting technician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Experienced professional with knowledge about lighting environments, basic electricity and notions of development of lighting projects in indoor and outdoor environments.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Computer technician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Professional able to perform system configurations, equipment installation and verification and correction of computer programming failures.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6"/>
              </w:numPr>
              <w:spacing w:before="120" w:after="120" w:line="240" w:lineRule="auto"/>
              <w:ind w:left="840" w:right="120" w:firstLine="0"/>
              <w:jc w:val="both"/>
              <w:rPr>
                <w:rFonts w:ascii="Calibri" w:hAnsi="Calibri" w:cs="Calibri" w:eastAsia="Times New Roman"/>
                <w:color w:val="000000"/>
                <w:sz w:val="24"/>
              </w:rPr>
              <w:pStyle w:val="P68B1DB1-Normal4"/>
            </w:pPr>
            <w:r>
              <w:rPr>
                <w:b/>
              </w:rPr>
              <w:t>Transportation</w:t>
            </w: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Micro bus, bus, van, utility vehicle, car (with or without armor), aircraft, helicopters, vessels and transfers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Provision of various vehicles, by land, water and/or air, in simple, executive and luxury modalities, with capacity for a varied number of passengers, according to the characteristics and needs of the promotional action.</w:t>
            </w:r>
          </w:p>
        </w:tc>
      </w:tr>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noWrap/>
            <w:vAlign w:val="center"/>
            <w:hideMark/>
          </w:tcPr>
          <w:p>
            <w:pPr>
              <w:numPr>
                <w:ilvl w:val="0"/>
                <w:numId w:val="17"/>
              </w:numPr>
              <w:spacing w:before="120" w:after="120" w:line="240" w:lineRule="auto"/>
              <w:ind w:left="840" w:right="120" w:firstLine="0"/>
              <w:jc w:val="both"/>
              <w:rPr>
                <w:rFonts w:ascii="Calibri" w:hAnsi="Calibri" w:cs="Calibri" w:eastAsia="Times New Roman"/>
                <w:color w:val="000000"/>
                <w:sz w:val="24"/>
              </w:rPr>
              <w:pStyle w:val="P68B1DB1-Normal7"/>
            </w:pPr>
            <w:bookmarkStart w:id="28" w:name="_Toc51774398"/>
            <w:r>
              <w:t xml:space="preserve">Food &amp; Beverage for Events</w:t>
            </w:r>
            <w:bookmarkEnd w:id="28"/>
          </w:p>
        </w:tc>
      </w:tr>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Mineral water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Supply of mineral water in individual bottles of 500 ml, crystal glasses and trays for management tables and support rooms during the event.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Carbonated mineral water</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Supply of carbonated mineral water, in individual bottles of 500 ml, crystal glasses and trays for management tables and support rooms during the event.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Drinking fountain</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Installation and maintenance of water fountains, refrigerators type, with bottles of mineral water of 20 (twenty) liters, disposable cups and trash can, for the period of the event.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Coffee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Supply of coffee in thermal bottles with cups of crockery, spoons, sugar, sweetener, tray for tables and support room during the event.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Brunch </w:t>
            </w:r>
            <w:r>
              <w:t xml:space="preserve">(type 1)</w:t>
            </w:r>
          </w:p>
        </w:tc>
        <w:tc>
          <w:tcPr>
            <w:tcW w:w="21600" w:type="dxa"/>
            <w:tcBorders>
              <w:top w:val="outset" w:sz="6" w:space="0" w:color="auto"/>
              <w:left w:val="outset" w:sz="6" w:space="0" w:color="auto"/>
              <w:bottom w:val="outset" w:sz="6" w:space="0" w:color="auto"/>
              <w:right w:val="outset" w:sz="6" w:space="0" w:color="auto"/>
            </w:tcBorders>
            <w:noWrap/>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Coffee, tea, milk, chocolate, water, 02 (two) types of fruit juice, 02 (two) types of soda (01 dietary), varied cold cuts board, varied bread basket, 03 (three) types of pâtés, varied fruits, 02 (two) types of cake, 03 (three) types of pie.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Brunch </w:t>
            </w:r>
            <w:r>
              <w:t xml:space="preserve">(type 2)</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Coffee, tea, milk, chocolate, water, 02 (two) types of fruit juice, 02 (two) types of soda (01 dietary), fruit cocktail, various crepes, 03 (three) types of pies, 03 (three) types of cake, varied cold cuts, varied bread basket, quiches, sausage.</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Coffee break </w:t>
            </w:r>
            <w:r>
              <w:t xml:space="preserve">(type 1)</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Coffee, tea, water, cheese bread and/or fine biscuits (salty and sweet).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Coffee break </w:t>
            </w:r>
            <w:r>
              <w:t xml:space="preserve">(type 2)</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Coffee, water, tea, 01 (one) type of juice, 02 (two) types of soda (01 dietary), 02 types of fine biscuits, mini assorted sandwiches and/or snacks.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 xml:space="preserve">Coffee break </w:t>
            </w:r>
            <w:r>
              <w:t xml:space="preserve">(type 3)</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Coffee, water, 02 (two) types of juice, 02 (two) types of soda (01 dietary), 03 (three) types of fine biscuits, subway bread, varied bread basket, toast, 03 types of pâté, 02 (two) types of cake, 01 (one) type of salty, varied fruits.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Lunch (type 1)</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Buffet Service, with a varied menu, containing at least: a) 2 (two) types of meat (white and red); b) 2 (two) types of starch; c) 3 (three) types of salad (vegetables); d) standard dessert menu: fruits, candy buffet (pies, pavés, jams and mousses); e) standard menu of drinks: 2 (two) types of natural juice, diet and normal soda and mineral water (with and without gas) in a glass.</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Lunch (type 2)</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French service, varied menu, containing starter, at least 2 (two) types of meat (white and red meat), 2 (two) types of starch, salad, water and soda or fruit juice and dessert. Include vegetarian option, when requested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Dinner (type 1)</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i/>
              </w:rPr>
              <w:t>Buffet</w:t>
            </w:r>
            <w:r>
              <w:t xml:space="preserve"> Service, with a varied menu, containing at least: a) 2(two) types of meat (white and red); b) 2 (two) types of starch; c) 3(three) types of salad (vegetables); d) standard dessert menu: fruits, candy </w:t>
            </w:r>
            <w:r>
              <w:rPr>
                <w:i/>
              </w:rPr>
              <w:t xml:space="preserve">buffet </w:t>
            </w:r>
            <w:r>
              <w:t xml:space="preserve">(pies, pavés, jams and mousses); e) standard menu of drinks: two types of natural juice, diet and normal soda and mineral water (with and without gas) in a glass. Include vegetarian option, when requested by EMBRATUR.</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Dinner (type 2)</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French service, varied menu, containing at least 2 (two) types of meat (white and red meat), 2 (two) types of starch, salad, water and soda or fruit juice and dessert.</w:t>
            </w:r>
          </w:p>
        </w:tc>
      </w:tr>
      <w:tr>
        <w:trPr>
          <w:tblCellSpacing w:w="0" w:type="dxa"/>
        </w:trPr>
        <w:tc>
          <w:tcPr>
            <w:tcW w:w="2625"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Cocktail Service</w:t>
            </w:r>
          </w:p>
        </w:tc>
        <w:tc>
          <w:tcPr>
            <w:tcW w:w="21600" w:type="dxa"/>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Standard menu: at least 10 (ten) types of items previously approved by the Contracting Party, accompanied by national red wine "reserve", </w:t>
            </w:r>
            <w:r>
              <w:rPr>
                <w:i/>
              </w:rPr>
              <w:t>premium</w:t>
            </w:r>
            <w:r>
              <w:t xml:space="preserve"> national sparkling wine, non-alcoholic fruit cocktail, 2 (two) types of fruit juices, ice, 3 (three) types of soda (traditional and diet) and mineral water (sparkling and still) in glass. The cocktail should be served with steering wheel service, the waiters should wear a gown with gloves and with service material with quality compatible with the event.</w:t>
            </w:r>
          </w:p>
        </w:tc>
      </w:tr>
    </w:tbl>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When necessary to contract physical space, the Contractor shall indicate the location of the action, according to the characteristics determined by the Contracting Party, upon presentation of at least three (3) contracting options.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Contracting Party is allowed to indicate other facilities, provided that it is proven to be a value compatible with the market.</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contracting of structures and furniture must include the assembly and installation services, to be supervised by the Contractor. </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In the case of assembly of stands, basic stands, structures and electrical installations, the Contractor shall submit the respective ART (Annotation of Technical Responsibility) registered with CREA (Regional Council of Engineering and Agronomy), of the professional legally qualified as technician responsible for the execution of the services. For actions carried out outside Brazil, advice or similar organization should be sought.</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equipment must be delivered, installed and tested at least 12 (twelve) hours in advance of the start of the action.</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All inputs (paper, </w:t>
      </w:r>
      <w:r>
        <w:rPr>
          <w:i/>
        </w:rPr>
        <w:t>tonner</w:t>
      </w:r>
      <w:r>
        <w:t xml:space="preserve">, extension, battery and others) necessary for the operation of the equipment and the provision of services must be supplied by the Contractor and considered in the cost proposal.</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All electrical devices must be capable of adapting voltage (bivolt) or be accompanied by voltage adapters.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All computer equipment must operate with the main operating systems, namely: </w:t>
      </w:r>
      <w:r>
        <w:rPr>
          <w:i/>
        </w:rPr>
        <w:t>Windows</w:t>
      </w:r>
      <w:r>
        <w:t xml:space="preserve">, </w:t>
      </w:r>
      <w:r>
        <w:rPr>
          <w:i/>
        </w:rPr>
        <w:t xml:space="preserve">MacOS </w:t>
      </w:r>
      <w:r>
        <w:t xml:space="preserve">and Free </w:t>
      </w:r>
      <w:r>
        <w:rPr>
          <w:i/>
        </w:rPr>
        <w:t xml:space="preserve">Software </w:t>
      </w:r>
      <w:r>
        <w:t>solutions.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All items must consider daily compensation, including expenses with uniform, transportation, food for professionals and any service fees.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In the case of security, it will be necessary to present nothing contained in the Civil Police or local competent authority.</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Contractor shall submit at least 3 (three) proposals for uniforms, appropriate to the size and nature of the action, considering the Contracting party's profile, with the specifications of the fabrics and materials, colors and other elements that constitute it, for approval.</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For the journey of simultaneous and consecutive interpreters of foreign languages and Libras, reference values provided by the National Union of Translators – SINTRA or, in the case of actions outside Brazil, of a locally recognized institution should be considered, in addition to considering the correct number of professionals, according to the workload provided for by the rules that regulate the activities.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For the hiring of human resources, the Contractor shall submit the name and curriculum of the professionals prior to the execution of the service, for analysis and approval by the Contracting party.</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Contractor shall provide all complementary items so that food and beverages are served properly, in the quantity appropriate to the service requested.</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Food and beverages must be perfectly harmonized and be served with material – dishes, glasses, cups, towels, furniture – of quality, previously approved by the Contracting party.</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All inputs and materials complementary to the food and beverage service must be supplied by the Contractor and considered in the cost proposal.</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Contractor shall submit at least 3 (three) menu options for prior authorization of the Contracting Party, signed by a representative of a buïet company of recognized capacity, for the appreciation and choice of the Contracting party.</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Vehicles with a maximum of 2 (two) years of manufacture and drivers uniformed according to the profile of the action will be required.</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In the case of transfers, the Contractor shall be responsible for receiving and accompanying the participant or speaker to the vehicle that will make the transfer.</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The provision of specialized services must consider all linked expenses, such as transportation and food for professionals.</w:t>
      </w:r>
    </w:p>
    <w:p>
      <w:pPr>
        <w:numPr>
          <w:ilvl w:val="0"/>
          <w:numId w:val="18"/>
        </w:numPr>
        <w:spacing w:before="120" w:after="120" w:line="240" w:lineRule="auto"/>
        <w:ind w:left="840" w:right="120" w:firstLine="0"/>
        <w:jc w:val="both"/>
        <w:rPr>
          <w:rFonts w:ascii="Calibri" w:hAnsi="Calibri" w:cs="Calibri" w:eastAsia="Times New Roman"/>
          <w:color w:val="000000"/>
          <w:sz w:val="24"/>
        </w:rPr>
        <w:pStyle w:val="P68B1DB1-Normal4"/>
      </w:pPr>
      <w:r>
        <w:t xml:space="preserve">When necessary to hire a typical show, musical ensemble, artists, singers and musicians, the Contractor shall present at least three (3) hiring options, as defined by the Contracting party.</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III - JUDGMENT OF TECHNICAL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1.                   The Technical Proposals of the bidders will be analyzed as to the fulfillment of the conditions established in this Appendix.</w:t>
      </w:r>
    </w:p>
    <w:p>
      <w:pPr>
        <w:spacing w:before="120" w:after="120" w:line="240" w:lineRule="auto"/>
        <w:ind w:left="120" w:right="120"/>
        <w:jc w:val="both"/>
        <w:rPr>
          <w:rFonts w:ascii="Calibri" w:hAnsi="Calibri" w:cs="Calibri" w:eastAsia="Times New Roman"/>
          <w:color w:val="000000"/>
          <w:sz w:val="27"/>
        </w:rPr>
        <w:pStyle w:val="P68B1DB1-Normal2"/>
      </w:pPr>
      <w:r>
        <w:t xml:space="preserve">2.                   The following attributes of the Technical Proposal will be taken into account by the Technical Subcommittee, as a criterion for technical judgment, in each item or subquirement:</w:t>
      </w:r>
    </w:p>
    <w:p>
      <w:pPr>
        <w:spacing w:before="120" w:after="120" w:line="240" w:lineRule="auto"/>
        <w:ind w:left="120" w:right="120"/>
        <w:jc w:val="both"/>
        <w:rPr>
          <w:rFonts w:ascii="Calibri" w:hAnsi="Calibri" w:cs="Calibri" w:eastAsia="Times New Roman"/>
          <w:color w:val="000000"/>
          <w:sz w:val="27"/>
        </w:rPr>
        <w:pStyle w:val="P68B1DB1-Normal2"/>
      </w:pPr>
      <w:r>
        <w:t xml:space="preserve">2.1.                </w:t>
      </w:r>
      <w:r>
        <w:rPr>
          <w:u w:val="single"/>
        </w:rPr>
        <w:t xml:space="preserve">Question 1 - Corporate Communication Plan</w:t>
      </w:r>
    </w:p>
    <w:p>
      <w:pPr>
        <w:spacing w:before="120" w:after="120" w:line="240" w:lineRule="auto"/>
        <w:ind w:left="120" w:right="120"/>
        <w:jc w:val="both"/>
        <w:rPr>
          <w:rFonts w:ascii="Calibri" w:hAnsi="Calibri" w:cs="Calibri" w:eastAsia="Times New Roman"/>
          <w:color w:val="000000"/>
          <w:sz w:val="27"/>
        </w:rPr>
        <w:pStyle w:val="P68B1DB1-Normal2"/>
      </w:pPr>
      <w:r>
        <w:t xml:space="preserve">2.1.1.             </w:t>
      </w:r>
      <w:r>
        <w:rPr>
          <w:u w:val="single"/>
        </w:rPr>
        <w:t xml:space="preserve">Subquirement 1 - Basic Reasoning:</w:t>
      </w:r>
    </w:p>
    <w:p>
      <w:pPr>
        <w:spacing w:before="120" w:after="120" w:line="240" w:lineRule="auto"/>
        <w:ind w:left="120" w:right="120"/>
        <w:jc w:val="both"/>
        <w:rPr>
          <w:rFonts w:ascii="Calibri" w:hAnsi="Calibri" w:cs="Calibri" w:eastAsia="Times New Roman"/>
          <w:color w:val="000000"/>
          <w:sz w:val="27"/>
        </w:rPr>
        <w:pStyle w:val="P68B1DB1-Normal2"/>
      </w:pPr>
      <w:r>
        <w:t xml:space="preserve">a) the accuracy demonstrated in the analysis of the characteristics and specificities of the Contracting Party and the context of its performance;</w:t>
      </w:r>
    </w:p>
    <w:p>
      <w:pPr>
        <w:spacing w:before="120" w:after="120" w:line="240" w:lineRule="auto"/>
        <w:ind w:left="120" w:right="120"/>
        <w:jc w:val="both"/>
        <w:rPr>
          <w:rFonts w:ascii="Calibri" w:hAnsi="Calibri" w:cs="Calibri" w:eastAsia="Times New Roman"/>
          <w:color w:val="000000"/>
          <w:sz w:val="27"/>
        </w:rPr>
        <w:pStyle w:val="P68B1DB1-Normal2"/>
      </w:pPr>
      <w:r>
        <w:t xml:space="preserve">b) the relevance of the relevant and significant aspects presented, related to the corporate communication needs identified;</w:t>
      </w:r>
    </w:p>
    <w:p>
      <w:pPr>
        <w:spacing w:before="120" w:after="120" w:line="240" w:lineRule="auto"/>
        <w:ind w:left="120" w:right="120"/>
        <w:jc w:val="both"/>
        <w:rPr>
          <w:rFonts w:ascii="Calibri" w:hAnsi="Calibri" w:cs="Calibri" w:eastAsia="Times New Roman"/>
          <w:color w:val="000000"/>
          <w:sz w:val="27"/>
        </w:rPr>
        <w:pStyle w:val="P68B1DB1-Normal2"/>
      </w:pPr>
      <w:r>
        <w:t xml:space="preserve">c) the adequacy demonstrated in the analysis of the Contracting party's relationship with its different audiences;</w:t>
      </w:r>
    </w:p>
    <w:p>
      <w:pPr>
        <w:spacing w:before="120" w:after="120" w:line="240" w:lineRule="auto"/>
        <w:ind w:left="120" w:right="120"/>
        <w:jc w:val="both"/>
        <w:rPr>
          <w:rFonts w:ascii="Calibri" w:hAnsi="Calibri" w:cs="Calibri" w:eastAsia="Times New Roman"/>
          <w:color w:val="000000"/>
          <w:sz w:val="27"/>
        </w:rPr>
        <w:pStyle w:val="P68B1DB1-Normal2"/>
      </w:pPr>
      <w:r>
        <w:t xml:space="preserve">d) the assertiveness demonstrated in the analysis and understanding of the communication challenge to be overcome by the Contracting Party and in the understanding of the communication objectives established in the </w:t>
      </w:r>
      <w:r>
        <w:rPr>
          <w:i/>
        </w:rPr>
        <w:t>Briefing</w:t>
      </w: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2.1.2.             </w:t>
      </w:r>
      <w:r>
        <w:rPr>
          <w:u w:val="single"/>
        </w:rPr>
        <w:t xml:space="preserve">Sub-Requirement 2 - Corporate Communication Strategy</w:t>
      </w:r>
    </w:p>
    <w:p>
      <w:pPr>
        <w:spacing w:before="120" w:after="120" w:line="240" w:lineRule="auto"/>
        <w:ind w:left="120" w:right="120"/>
        <w:jc w:val="both"/>
        <w:rPr>
          <w:rFonts w:ascii="Calibri" w:hAnsi="Calibri" w:cs="Calibri" w:eastAsia="Times New Roman"/>
          <w:color w:val="000000"/>
          <w:sz w:val="27"/>
        </w:rPr>
        <w:pStyle w:val="P68B1DB1-Normal2"/>
      </w:pPr>
      <w:r>
        <w:t xml:space="preserve">a) the adequacy of the recommendations to be observed by the Contracting party's spokespersons to their activities, as well as to the challenge and communication objectives;</w:t>
      </w:r>
    </w:p>
    <w:p>
      <w:pPr>
        <w:spacing w:before="120" w:after="120" w:line="240" w:lineRule="auto"/>
        <w:ind w:left="120" w:right="120"/>
        <w:jc w:val="both"/>
        <w:rPr>
          <w:rFonts w:ascii="Calibri" w:hAnsi="Calibri" w:cs="Calibri" w:eastAsia="Times New Roman"/>
          <w:color w:val="000000"/>
          <w:sz w:val="27"/>
        </w:rPr>
        <w:pStyle w:val="P68B1DB1-Normal2"/>
      </w:pPr>
      <w:r>
        <w:t xml:space="preserve">b) the scope and possibilities of positive interpretations for the Contracting party's corporate communication in its relationship with the press, opinion leaders and other stakeholders;</w:t>
      </w:r>
    </w:p>
    <w:p>
      <w:pPr>
        <w:spacing w:before="120" w:after="120" w:line="240" w:lineRule="auto"/>
        <w:ind w:left="120" w:right="120"/>
        <w:jc w:val="both"/>
        <w:rPr>
          <w:rFonts w:ascii="Calibri" w:hAnsi="Calibri" w:cs="Calibri" w:eastAsia="Times New Roman"/>
          <w:color w:val="000000"/>
          <w:sz w:val="27"/>
        </w:rPr>
        <w:pStyle w:val="P68B1DB1-Normal2"/>
      </w:pPr>
      <w:r>
        <w:t xml:space="preserve">c) the technical consistency of the presentation and defense of the central points of the Corporate Communication Strategy by the bidder and its ability to articulate the knowledge about the Contracting Party, the challenge and the communication objectives established in the </w:t>
      </w:r>
      <w:r>
        <w:rPr>
          <w:i/>
        </w:rPr>
        <w:t>Briefing</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d) the relevance of the cause and effect relationships between the proposed Corporate Communication Strategy and the expected effects and results;</w:t>
      </w:r>
    </w:p>
    <w:p>
      <w:pPr>
        <w:spacing w:before="120" w:after="120" w:line="240" w:lineRule="auto"/>
        <w:ind w:left="120" w:right="120"/>
        <w:jc w:val="both"/>
        <w:rPr>
          <w:rFonts w:ascii="Calibri" w:hAnsi="Calibri" w:cs="Calibri" w:eastAsia="Times New Roman"/>
          <w:color w:val="000000"/>
          <w:sz w:val="27"/>
        </w:rPr>
        <w:pStyle w:val="P68B1DB1-Normal2"/>
      </w:pPr>
      <w:r>
        <w:t xml:space="preserve">e) the feasibility of the Corporate Communication Strategy, considering the reference amount established in the </w:t>
      </w:r>
      <w:r>
        <w:rPr>
          <w:i/>
        </w:rPr>
        <w:t>Briefing</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2.1.3.             </w:t>
      </w:r>
      <w:r>
        <w:rPr>
          <w:u w:val="single"/>
        </w:rPr>
        <w:t xml:space="preserve">Subquirement 3 – Corporate Communication Solution</w:t>
      </w:r>
    </w:p>
    <w:p>
      <w:pPr>
        <w:spacing w:before="120" w:after="120" w:line="240" w:lineRule="auto"/>
        <w:ind w:left="120" w:right="120"/>
        <w:jc w:val="both"/>
        <w:rPr>
          <w:rFonts w:ascii="Calibri" w:hAnsi="Calibri" w:cs="Calibri" w:eastAsia="Times New Roman"/>
          <w:color w:val="000000"/>
          <w:sz w:val="27"/>
        </w:rPr>
        <w:pStyle w:val="P68B1DB1-Normal2"/>
      </w:pPr>
      <w:r>
        <w:t xml:space="preserve">a) the alignment of corporate communication actions and/or materials with the proposed strategy;</w:t>
      </w:r>
    </w:p>
    <w:p>
      <w:pPr>
        <w:spacing w:before="120" w:after="120" w:line="240" w:lineRule="auto"/>
        <w:ind w:left="120" w:right="120"/>
        <w:jc w:val="both"/>
        <w:rPr>
          <w:rFonts w:ascii="Calibri" w:hAnsi="Calibri" w:cs="Calibri" w:eastAsia="Times New Roman"/>
          <w:color w:val="000000"/>
          <w:sz w:val="27"/>
        </w:rPr>
        <w:pStyle w:val="P68B1DB1-Normal2"/>
      </w:pPr>
      <w:r>
        <w:t xml:space="preserve">b) the relevance of the actions and/or materials proposed with the nature of the Contracting Party and with the challenge and communication objectives established in the </w:t>
      </w:r>
      <w:r>
        <w:rPr>
          <w:i/>
        </w:rPr>
        <w:t>Briefing</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c) the adequacy of the proposed actions and/or materials to the profile of the respective audiences and their compatibility with the Contracting party's own communication resources;</w:t>
      </w:r>
    </w:p>
    <w:p>
      <w:pPr>
        <w:spacing w:before="120" w:after="120" w:line="240" w:lineRule="auto"/>
        <w:ind w:left="120" w:right="120"/>
        <w:jc w:val="both"/>
        <w:rPr>
          <w:rFonts w:ascii="Calibri" w:hAnsi="Calibri" w:cs="Calibri" w:eastAsia="Times New Roman"/>
          <w:color w:val="000000"/>
          <w:sz w:val="27"/>
        </w:rPr>
        <w:pStyle w:val="P68B1DB1-Normal2"/>
      </w:pPr>
      <w:r>
        <w:t xml:space="preserve">d) the multiplicity of favorable interpretations that the actions and/or materials entail;</w:t>
      </w:r>
    </w:p>
    <w:p>
      <w:pPr>
        <w:spacing w:before="120" w:after="120" w:line="240" w:lineRule="auto"/>
        <w:ind w:left="120" w:right="120"/>
        <w:jc w:val="both"/>
        <w:rPr>
          <w:rFonts w:ascii="Calibri" w:hAnsi="Calibri" w:cs="Calibri" w:eastAsia="Times New Roman"/>
          <w:color w:val="000000"/>
          <w:sz w:val="27"/>
        </w:rPr>
        <w:pStyle w:val="P68B1DB1-Normal2"/>
      </w:pPr>
      <w:r>
        <w:t xml:space="preserve">e) the functionality of the proposed actions and/or materials;</w:t>
      </w:r>
    </w:p>
    <w:p>
      <w:pPr>
        <w:spacing w:before="120" w:after="120" w:line="240" w:lineRule="auto"/>
        <w:ind w:left="120" w:right="120"/>
        <w:jc w:val="both"/>
        <w:rPr>
          <w:rFonts w:ascii="Calibri" w:hAnsi="Calibri" w:cs="Calibri" w:eastAsia="Times New Roman"/>
          <w:color w:val="000000"/>
          <w:sz w:val="27"/>
        </w:rPr>
        <w:pStyle w:val="P68B1DB1-Normal2"/>
      </w:pPr>
      <w:r>
        <w:t xml:space="preserve">f) the feasibility of the proposed actions and/or materials, based on the available investment.</w:t>
      </w:r>
    </w:p>
    <w:p>
      <w:pPr>
        <w:spacing w:before="120" w:after="120" w:line="240" w:lineRule="auto"/>
        <w:ind w:left="120" w:right="120"/>
        <w:jc w:val="both"/>
        <w:rPr>
          <w:rFonts w:ascii="Calibri" w:hAnsi="Calibri" w:cs="Calibri" w:eastAsia="Times New Roman"/>
          <w:color w:val="000000"/>
          <w:sz w:val="27"/>
        </w:rPr>
        <w:pStyle w:val="P68B1DB1-Normal2"/>
      </w:pPr>
      <w:r>
        <w:t xml:space="preserve">2.1.4.             </w:t>
      </w:r>
      <w:r>
        <w:rPr>
          <w:u w:val="single"/>
        </w:rPr>
        <w:t xml:space="preserve">Sub-Requirement 4 – Implementation Plan</w:t>
      </w:r>
    </w:p>
    <w:p>
      <w:pPr>
        <w:spacing w:before="120" w:after="120" w:line="240" w:lineRule="auto"/>
        <w:ind w:left="120" w:right="120"/>
        <w:jc w:val="both"/>
        <w:rPr>
          <w:rFonts w:ascii="Calibri" w:hAnsi="Calibri" w:cs="Calibri" w:eastAsia="Times New Roman"/>
          <w:color w:val="000000"/>
          <w:sz w:val="27"/>
        </w:rPr>
        <w:pStyle w:val="P68B1DB1-Normal2"/>
      </w:pPr>
      <w:r>
        <w:t xml:space="preserve">a) the adequacy of the production schedule, implementation, maintenance and completion of corporate communication actions and/or materials, considering the degree of complexity of its technical execution and the specificities of the challenge and communication objectives presented in the </w:t>
      </w:r>
      <w:r>
        <w:rPr>
          <w:i/>
        </w:rPr>
        <w:t>Briefing</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b) the degree of efficiency, economy and optimization of resources in the use of the reference amount established in the </w:t>
      </w:r>
      <w:r>
        <w:rPr>
          <w:i/>
        </w:rPr>
        <w:t>Briefing</w:t>
      </w:r>
      <w:r>
        <w:t xml:space="preserve">, shown in the budget for the development of the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2.2.                </w:t>
      </w:r>
      <w:r>
        <w:rPr>
          <w:u w:val="single"/>
        </w:rPr>
        <w:t xml:space="preserve">Question 2 - Service Capacity</w:t>
      </w:r>
    </w:p>
    <w:p>
      <w:pPr>
        <w:spacing w:before="120" w:after="120" w:line="240" w:lineRule="auto"/>
        <w:ind w:left="120" w:right="120"/>
        <w:jc w:val="both"/>
        <w:rPr>
          <w:rFonts w:ascii="Calibri" w:hAnsi="Calibri" w:cs="Calibri" w:eastAsia="Times New Roman"/>
          <w:color w:val="000000"/>
          <w:sz w:val="27"/>
        </w:rPr>
        <w:pStyle w:val="P68B1DB1-Normal2"/>
      </w:pPr>
      <w:r>
        <w:t xml:space="preserve">a) the size, tradition of customers in their corporate communication and the period of service to each of these customers;</w:t>
      </w:r>
    </w:p>
    <w:p>
      <w:pPr>
        <w:spacing w:before="120" w:after="120" w:line="240" w:lineRule="auto"/>
        <w:ind w:left="120" w:right="120"/>
        <w:jc w:val="both"/>
        <w:rPr>
          <w:rFonts w:ascii="Calibri" w:hAnsi="Calibri" w:cs="Calibri" w:eastAsia="Times New Roman"/>
          <w:color w:val="000000"/>
          <w:sz w:val="27"/>
        </w:rPr>
        <w:pStyle w:val="P68B1DB1-Normal2"/>
      </w:pPr>
      <w:r>
        <w:t xml:space="preserve">b) the experience of the bidder's professionals in corporate communication and the adequacy of the quantifications and qualifications of these professionals to the needs of the Contracting Party;</w:t>
      </w:r>
    </w:p>
    <w:p>
      <w:pPr>
        <w:spacing w:before="120" w:after="120" w:line="240" w:lineRule="auto"/>
        <w:ind w:left="120" w:right="120"/>
        <w:jc w:val="both"/>
        <w:rPr>
          <w:rFonts w:ascii="Calibri" w:hAnsi="Calibri" w:cs="Calibri" w:eastAsia="Times New Roman"/>
          <w:color w:val="000000"/>
          <w:sz w:val="27"/>
        </w:rPr>
        <w:pStyle w:val="P68B1DB1-Normal2"/>
      </w:pPr>
      <w:r>
        <w:t xml:space="preserve">c) the adequacy of the infrastructure, facilities, material resources and international partnerships that may support the service to the Contracting Party in the execution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d) the functionality of the operational relationship between the Contracting Party and the bidder.</w:t>
      </w:r>
    </w:p>
    <w:p>
      <w:pPr>
        <w:spacing w:before="120" w:after="120" w:line="240" w:lineRule="auto"/>
        <w:ind w:left="120" w:right="120"/>
        <w:jc w:val="both"/>
        <w:rPr>
          <w:rFonts w:ascii="Calibri" w:hAnsi="Calibri" w:cs="Calibri" w:eastAsia="Times New Roman"/>
          <w:color w:val="000000"/>
          <w:sz w:val="27"/>
        </w:rPr>
        <w:pStyle w:val="P68B1DB1-Normal2"/>
      </w:pPr>
      <w:r>
        <w:t xml:space="preserve">2.3.                </w:t>
      </w:r>
      <w:r>
        <w:rPr>
          <w:u w:val="single"/>
        </w:rPr>
        <w:t xml:space="preserve">Question 3 – Reports of Corporate Communication Solutions</w:t>
      </w:r>
    </w:p>
    <w:p>
      <w:pPr>
        <w:spacing w:before="120" w:after="120" w:line="240" w:lineRule="auto"/>
        <w:ind w:left="120" w:right="120"/>
        <w:jc w:val="both"/>
        <w:rPr>
          <w:rFonts w:ascii="Calibri" w:hAnsi="Calibri" w:cs="Calibri" w:eastAsia="Times New Roman"/>
          <w:color w:val="000000"/>
          <w:sz w:val="27"/>
        </w:rPr>
        <w:pStyle w:val="P68B1DB1-Normal2"/>
      </w:pPr>
      <w:r>
        <w:t xml:space="preserve">a) the evidence of strategic planning by the bidder in proposing the corporate communication solution in each report;</w:t>
      </w:r>
    </w:p>
    <w:p>
      <w:pPr>
        <w:spacing w:before="120" w:after="120" w:line="240" w:lineRule="auto"/>
        <w:ind w:left="120" w:right="120"/>
        <w:jc w:val="both"/>
        <w:rPr>
          <w:rFonts w:ascii="Calibri" w:hAnsi="Calibri" w:cs="Calibri" w:eastAsia="Times New Roman"/>
          <w:color w:val="000000"/>
          <w:sz w:val="27"/>
        </w:rPr>
        <w:pStyle w:val="P68B1DB1-Normal2"/>
      </w:pPr>
      <w:r>
        <w:t xml:space="preserve">b) the demonstration that the corporate communication solution contributed to the achievement of the customer's communication objectives;</w:t>
      </w:r>
    </w:p>
    <w:p>
      <w:pPr>
        <w:spacing w:before="120" w:after="120" w:line="240" w:lineRule="auto"/>
        <w:ind w:left="120" w:right="120"/>
        <w:jc w:val="both"/>
        <w:rPr>
          <w:rFonts w:ascii="Calibri" w:hAnsi="Calibri" w:cs="Calibri" w:eastAsia="Times New Roman"/>
          <w:color w:val="000000"/>
          <w:sz w:val="27"/>
        </w:rPr>
        <w:pStyle w:val="P68B1DB1-Normal2"/>
      </w:pPr>
      <w:r>
        <w:t xml:space="preserve">c) the complexity of the communication challenge presented in the report and the relevance of the results obtained;</w:t>
      </w:r>
    </w:p>
    <w:p>
      <w:pPr>
        <w:spacing w:before="120" w:after="120" w:line="240" w:lineRule="auto"/>
        <w:ind w:left="120" w:right="120"/>
        <w:jc w:val="both"/>
        <w:rPr>
          <w:rFonts w:ascii="Calibri" w:hAnsi="Calibri" w:cs="Calibri" w:eastAsia="Times New Roman"/>
          <w:color w:val="000000"/>
          <w:sz w:val="27"/>
        </w:rPr>
        <w:pStyle w:val="P68B1DB1-Normal2"/>
      </w:pPr>
      <w:r>
        <w:t xml:space="preserve">d) the quality of the execution of the actions and/or corporate communication materials developed by the bidder for its client;</w:t>
      </w:r>
    </w:p>
    <w:p>
      <w:pPr>
        <w:spacing w:before="120" w:after="120" w:line="240" w:lineRule="auto"/>
        <w:ind w:left="120" w:right="120"/>
        <w:jc w:val="both"/>
        <w:rPr>
          <w:rFonts w:ascii="Calibri" w:hAnsi="Calibri" w:cs="Calibri" w:eastAsia="Times New Roman"/>
          <w:color w:val="000000"/>
          <w:sz w:val="27"/>
        </w:rPr>
        <w:pStyle w:val="P68B1DB1-Normal2"/>
      </w:pPr>
      <w:r>
        <w:t xml:space="preserve">e) the logical chain and clarity of the presentation of the report by the bidder.</w:t>
      </w:r>
    </w:p>
    <w:p>
      <w:pPr>
        <w:spacing w:before="120" w:after="120" w:line="240" w:lineRule="auto"/>
        <w:ind w:left="120" w:right="120"/>
        <w:jc w:val="both"/>
        <w:rPr>
          <w:rFonts w:ascii="Calibri" w:hAnsi="Calibri" w:cs="Calibri" w:eastAsia="Times New Roman"/>
          <w:color w:val="000000"/>
          <w:sz w:val="27"/>
        </w:rPr>
        <w:pStyle w:val="P68B1DB1-Normal2"/>
      </w:pPr>
      <w:r>
        <w:t xml:space="preserve">3.              The score of the Technical Proposal is limited to 100 (one hundred) and will be calculated according to the following methodology.</w:t>
      </w:r>
    </w:p>
    <w:p>
      <w:pPr>
        <w:spacing w:before="120" w:after="120" w:line="240" w:lineRule="auto"/>
        <w:ind w:left="120" w:right="120"/>
        <w:jc w:val="both"/>
        <w:rPr>
          <w:rFonts w:ascii="Calibri" w:hAnsi="Calibri" w:cs="Calibri" w:eastAsia="Times New Roman"/>
          <w:color w:val="000000"/>
          <w:sz w:val="27"/>
        </w:rPr>
        <w:pStyle w:val="P68B1DB1-Normal2"/>
      </w:pPr>
      <w:r>
        <w:t xml:space="preserve">3.1.             In order to establish the score of each item and subquirement, the degree of compliance with the Technical Proposals to the provisions of this Appendix must be evaluated.</w:t>
      </w:r>
    </w:p>
    <w:p>
      <w:pPr>
        <w:spacing w:before="120" w:after="120" w:line="240" w:lineRule="auto"/>
        <w:ind w:left="120" w:right="120"/>
        <w:jc w:val="both"/>
        <w:rPr>
          <w:rFonts w:ascii="Calibri" w:hAnsi="Calibri" w:cs="Calibri" w:eastAsia="Times New Roman"/>
          <w:color w:val="000000"/>
          <w:sz w:val="27"/>
        </w:rPr>
        <w:pStyle w:val="P68B1DB1-Normal2"/>
      </w:pPr>
      <w:r>
        <w:t xml:space="preserve">3.2.             The Technical Subcommittee will assign the following points to the questions or subquites at most:</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86"/>
        <w:gridCol w:w="2608"/>
        <w:gridCol w:w="2545"/>
        <w:gridCol w:w="1649"/>
      </w:tblGrid>
      <w:tr>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ASPECTS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MAXIMUM SCORE</w:t>
            </w:r>
          </w:p>
        </w:tc>
      </w:tr>
      <w:tr>
        <w:trPr>
          <w:trHeight w:val="413"/>
          <w:tblCellSpacing w:w="0" w:type="dxa"/>
        </w:trPr>
        <w:tc>
          <w:tcPr>
            <w:tcW w:w="0" w:type="auto"/>
            <w:gridSpan w:val="3"/>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1. Corporate Communication Plan</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80</w:t>
            </w:r>
          </w:p>
        </w:tc>
      </w:tr>
      <w:tr>
        <w:trPr>
          <w:trHeight w:val="293"/>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rHeight w:val="413"/>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SUBQUESTIONS</w:t>
            </w: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Basic Reasoning</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10</w:t>
            </w: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Corporate Communication Strategy</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30</w:t>
            </w: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Corporate Communication Solution</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20</w:t>
            </w: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Implementation Plan</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20</w:t>
            </w:r>
          </w:p>
        </w:tc>
      </w:tr>
      <w:tr>
        <w:trPr>
          <w:trHeight w:val="293"/>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rHeight w:val="413"/>
          <w:tblCellSpacing w:w="0" w:type="dxa"/>
        </w:trPr>
        <w:tc>
          <w:tcPr>
            <w:tcW w:w="0" w:type="auto"/>
            <w:gridSpan w:val="3"/>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Service capacity</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10</w:t>
            </w:r>
          </w:p>
        </w:tc>
      </w:tr>
      <w:tr>
        <w:trPr>
          <w:trHeight w:val="293"/>
          <w:tblCellSpacing w:w="0" w:type="dxa"/>
        </w:trPr>
        <w:tc>
          <w:tcPr>
            <w:tcW w:w="0" w:type="auto"/>
            <w:gridSpan w:val="3"/>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r>
      <w:tr>
        <w:trPr>
          <w:tblCellSpacing w:w="0" w:type="dxa"/>
        </w:trPr>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SUBQUESTIONS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Relationship of Customers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4</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More than 6 (six) clients with international operations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4 (four) to 6 (six) clients with international operations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1 (one) to 3 (three) clients with international operations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Only clients with national operations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International Partnerships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1</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Personnel ability: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5</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1. Academic training of the main technical managers of the bidder. (</w:t>
            </w:r>
            <w:r>
              <w:rPr>
                <w:b/>
              </w:rPr>
              <w:t xml:space="preserve">Maximum score - 03 Points</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For each professional with a master's degree in Communication or Marketing.</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For each professional with an undergraduate or graduate degree in Communication or Marketing.</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0.5</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For each professional with training in other areas of knowledge.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0</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2. Professional Experience of the 3 main technical managers of the bidder. (</w:t>
            </w:r>
            <w:r>
              <w:rPr>
                <w:b/>
              </w:rPr>
              <w:t xml:space="preserve">Maximum score - 02 Points</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More than 30 years combined.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Between 20 and 29 years combined.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1.5</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Between 9 and 19 years combined.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w:t>
            </w:r>
          </w:p>
        </w:tc>
      </w:tr>
      <w:tr>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pPr>
              <w:spacing w:after="0" w:line="240" w:lineRule="auto"/>
              <w:rPr>
                <w:rFonts w:ascii="Calibri" w:hAnsi="Calibri" w:cs="Calibri" w:eastAsia="Times New Roman"/>
                <w:color w:val="000000"/>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Up to 8 years combined.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0</w:t>
            </w:r>
          </w:p>
        </w:tc>
      </w:tr>
      <w:tr>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rPr>
                <w:b/>
              </w:rPr>
              <w:t xml:space="preserve">3. Reports of Corporate Communication Solutions</w:t>
            </w: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10</w:t>
            </w:r>
          </w:p>
        </w:tc>
      </w:tr>
      <w:tr>
        <w:trPr>
          <w:tblCellSpacing w:w="0" w:type="dxa"/>
        </w:trPr>
        <w:tc>
          <w:tcPr>
            <w:tcW w:w="0" w:type="auto"/>
            <w:gridSpan w:val="3"/>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TOTAL SCORE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100</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3.2.1.           If the bidder does not observe the amount established in sub-item 16.6.2 of the Basic Project for presentation of Reports of Corporate Communication Solutions, its maximum score, in this regard, will be proportional to the number of reports presented by it, and the proportionality obtained by applying the rule of three simple, in relation to its maximum score provided for in sub-item 3.2.</w:t>
      </w:r>
    </w:p>
    <w:p>
      <w:pPr>
        <w:spacing w:before="120" w:after="120" w:line="240" w:lineRule="auto"/>
        <w:ind w:left="120" w:right="120"/>
        <w:jc w:val="both"/>
        <w:rPr>
          <w:rFonts w:ascii="Calibri" w:hAnsi="Calibri" w:cs="Calibri" w:eastAsia="Times New Roman"/>
          <w:color w:val="000000"/>
          <w:sz w:val="27"/>
        </w:rPr>
        <w:pStyle w:val="P68B1DB1-Normal2"/>
      </w:pPr>
      <w:r>
        <w:t xml:space="preserve">3.3.                 The score of each item will correspond to the arithmetic average of the points awarded by each member of the Technical Subcommittee, considering 01 (one) decimal place.</w:t>
      </w:r>
    </w:p>
    <w:p>
      <w:pPr>
        <w:spacing w:before="120" w:after="120" w:line="240" w:lineRule="auto"/>
        <w:ind w:left="120" w:right="120"/>
        <w:jc w:val="both"/>
        <w:rPr>
          <w:rFonts w:ascii="Calibri" w:hAnsi="Calibri" w:cs="Calibri" w:eastAsia="Times New Roman"/>
          <w:color w:val="000000"/>
          <w:sz w:val="27"/>
        </w:rPr>
        <w:pStyle w:val="P68B1DB1-Normal2"/>
      </w:pPr>
      <w:r>
        <w:t xml:space="preserve">3.4.                The Technical Subcommittee will reassess the score assigned to a question or subquite whenever the difference between the highest and the lowest score is greater than 20% (twenty percent) of the maximum score of the question or subquite, in order to restore the balance of the scores assigned, in accordance with the objective criteria provided for in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3.4.1.          If the difference in score provided for after the reassessment of the item or sub-question persists, the members of the Technical Subcommittee, authors of the scores considered to be inconsistent, must record in the minutes the reasons that led them to maintain the score attributed to the item or sub-question reassessed, which will be signed by all members of the Subcommittee and will become part of the process of this bidding</w:t>
      </w:r>
    </w:p>
    <w:p>
      <w:pPr>
        <w:spacing w:before="120" w:after="120" w:line="240" w:lineRule="auto"/>
        <w:ind w:left="120" w:right="120"/>
        <w:jc w:val="both"/>
        <w:rPr>
          <w:rFonts w:ascii="Calibri" w:hAnsi="Calibri" w:cs="Calibri" w:eastAsia="Times New Roman"/>
          <w:color w:val="000000"/>
          <w:sz w:val="27"/>
        </w:rPr>
        <w:pStyle w:val="P68B1DB1-Normal2"/>
      </w:pPr>
      <w:r>
        <w:t xml:space="preserve">3.5.           The final score of the Technical Proposal of each bidder will correspond to the sum of the points of the 03 (three) items: Corporate Communication Plan; Service Capacity; and Reports of Corporate Communication Solutions.</w:t>
      </w:r>
    </w:p>
    <w:p>
      <w:pPr>
        <w:spacing w:before="120" w:after="120" w:line="240" w:lineRule="auto"/>
        <w:ind w:left="120" w:right="120"/>
        <w:jc w:val="both"/>
        <w:rPr>
          <w:rFonts w:ascii="Calibri" w:hAnsi="Calibri" w:cs="Calibri" w:eastAsia="Times New Roman"/>
          <w:color w:val="000000"/>
          <w:sz w:val="27"/>
        </w:rPr>
        <w:pStyle w:val="P68B1DB1-Normal2"/>
      </w:pPr>
      <w:r>
        <w:t xml:space="preserve">4.                  The bidder that obtains the highest score will be ranked first, in the judgment phase of the Technical Proposal, subject to the provisions of sub-item 5 of this Appendix.</w:t>
      </w:r>
    </w:p>
    <w:p>
      <w:pPr>
        <w:spacing w:before="120" w:after="120" w:line="240" w:lineRule="auto"/>
        <w:ind w:left="120" w:right="120"/>
        <w:jc w:val="both"/>
        <w:rPr>
          <w:rFonts w:ascii="Calibri" w:hAnsi="Calibri" w:cs="Calibri" w:eastAsia="Times New Roman"/>
          <w:color w:val="000000"/>
          <w:sz w:val="27"/>
        </w:rPr>
        <w:pStyle w:val="P68B1DB1-Normal2"/>
      </w:pPr>
      <w:r>
        <w:t xml:space="preserve">5.                   The Technical Proposal that incurs in any of the situations described below will be disqualified:</w:t>
      </w:r>
    </w:p>
    <w:p>
      <w:pPr>
        <w:spacing w:before="120" w:after="120" w:line="240" w:lineRule="auto"/>
        <w:ind w:left="1800" w:right="120"/>
        <w:jc w:val="both"/>
        <w:rPr>
          <w:rFonts w:ascii="Calibri" w:hAnsi="Calibri" w:cs="Calibri" w:eastAsia="Times New Roman"/>
          <w:color w:val="000000"/>
          <w:sz w:val="27"/>
        </w:rPr>
        <w:pStyle w:val="P68B1DB1-Normal2"/>
      </w:pPr>
      <w:r>
        <w:t xml:space="preserve">present any information, brand, sign, label or any other element that allows the identification of the authorship of the Corporate Communication Plan – Unidentified Copy, before the opening of Wrapper No. 3;</w:t>
      </w:r>
    </w:p>
    <w:p>
      <w:pPr>
        <w:spacing w:before="120" w:after="120" w:line="240" w:lineRule="auto"/>
        <w:ind w:left="1800" w:right="120"/>
        <w:jc w:val="both"/>
        <w:rPr>
          <w:rFonts w:ascii="Calibri" w:hAnsi="Calibri" w:cs="Calibri" w:eastAsia="Times New Roman"/>
          <w:color w:val="000000"/>
          <w:sz w:val="27"/>
        </w:rPr>
        <w:pStyle w:val="P68B1DB1-Normal2"/>
      </w:pPr>
      <w:r>
        <w:t xml:space="preserve">not reach a total of 75 (seventy-five) points;</w:t>
      </w:r>
    </w:p>
    <w:p>
      <w:pPr>
        <w:spacing w:before="120" w:after="120" w:line="240" w:lineRule="auto"/>
        <w:ind w:left="1800" w:right="120"/>
        <w:jc w:val="both"/>
        <w:rPr>
          <w:rFonts w:ascii="Calibri" w:hAnsi="Calibri" w:cs="Calibri" w:eastAsia="Times New Roman"/>
          <w:color w:val="000000"/>
          <w:sz w:val="27"/>
        </w:rPr>
        <w:pStyle w:val="P68B1DB1-Normal2"/>
      </w:pPr>
      <w:r>
        <w:t xml:space="preserve">obtain a score of zero in any of the questions or sub-questions.</w:t>
      </w:r>
    </w:p>
    <w:p>
      <w:pPr>
        <w:spacing w:before="120" w:after="120" w:line="240" w:lineRule="auto"/>
        <w:ind w:left="120" w:right="120"/>
        <w:jc w:val="both"/>
        <w:rPr>
          <w:rFonts w:ascii="Calibri" w:hAnsi="Calibri" w:cs="Calibri" w:eastAsia="Times New Roman"/>
          <w:color w:val="000000"/>
          <w:sz w:val="27"/>
        </w:rPr>
        <w:pStyle w:val="P68B1DB1-Normal2"/>
      </w:pPr>
      <w:r>
        <w:t xml:space="preserve">5.1.          The Technical Proposal that does not meet the other requirements of this Basic Project may be disqualified, depending on the severity of the occurrence, and purely formal aspects may be revealed that do not compromise the fairness and competitive character of the competition.</w:t>
      </w:r>
    </w:p>
    <w:p>
      <w:pPr>
        <w:spacing w:before="120" w:after="120" w:line="240" w:lineRule="auto"/>
        <w:ind w:left="120" w:right="120"/>
        <w:jc w:val="both"/>
        <w:rPr>
          <w:rFonts w:ascii="Calibri" w:hAnsi="Calibri" w:cs="Calibri" w:eastAsia="Times New Roman"/>
          <w:color w:val="000000"/>
          <w:sz w:val="27"/>
        </w:rPr>
        <w:pStyle w:val="P68B1DB1-Normal2"/>
      </w:pPr>
      <w:r>
        <w:t xml:space="preserve">6.            If there is a tie that makes it impossible to automatically identify the best Technical Proposal, the bidder who has obtained the highest score, successively, in the Corporate Communication Plan, Service Capacity and Reports of Corporate Communication Solutions will be considered as ranked first.</w:t>
      </w:r>
    </w:p>
    <w:p>
      <w:pPr>
        <w:spacing w:before="120" w:after="120" w:line="240" w:lineRule="auto"/>
        <w:ind w:left="120" w:right="120"/>
        <w:jc w:val="both"/>
        <w:rPr>
          <w:rFonts w:ascii="Calibri" w:hAnsi="Calibri" w:cs="Calibri" w:eastAsia="Times New Roman"/>
          <w:color w:val="000000"/>
          <w:sz w:val="27"/>
        </w:rPr>
        <w:pStyle w:val="P68B1DB1-Normal2"/>
      </w:pPr>
      <w:r>
        <w:t xml:space="preserve">7.              If the tie persists, the decision will be made by lot, to be held in a public session or act, with a previously disclosed date and participation of all bidders.</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IV - SUBMISSION AND JUDGMENT OF PRICE PROPOSALS</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8"/>
      </w:pPr>
      <w:r>
        <w:t xml:space="preserve">1.                PRESENTATION OF THE PRICE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1.1.             The bidder must submit its Price Proposal:</w:t>
      </w:r>
    </w:p>
    <w:p>
      <w:pPr>
        <w:spacing w:before="120" w:after="120" w:line="240" w:lineRule="auto"/>
        <w:ind w:left="1800" w:right="120"/>
        <w:jc w:val="both"/>
        <w:rPr>
          <w:rFonts w:ascii="Calibri" w:hAnsi="Calibri" w:cs="Calibri" w:eastAsia="Times New Roman"/>
          <w:color w:val="000000"/>
          <w:sz w:val="27"/>
        </w:rPr>
        <w:pStyle w:val="P68B1DB1-Normal2"/>
      </w:pPr>
      <w:r>
        <w:t xml:space="preserve">a) in a single notebook, on paper that identifies it, have its pages sequentially numbered and be written in Portuguese, except for technical expressions of common use, clearly, without amendments or erasures;</w:t>
      </w:r>
    </w:p>
    <w:p>
      <w:pPr>
        <w:spacing w:before="120" w:after="120" w:line="240" w:lineRule="auto"/>
        <w:ind w:left="1800" w:right="120"/>
        <w:jc w:val="both"/>
        <w:rPr>
          <w:rFonts w:ascii="Calibri" w:hAnsi="Calibri" w:cs="Calibri" w:eastAsia="Times New Roman"/>
          <w:color w:val="000000"/>
          <w:sz w:val="27"/>
        </w:rPr>
        <w:pStyle w:val="P68B1DB1-Normal2"/>
      </w:pPr>
      <w:r>
        <w:t xml:space="preserve">b) dated and signed by those who have powers of representation, in the form of its articles of incorporation, duly identified.</w:t>
      </w:r>
    </w:p>
    <w:p>
      <w:pPr>
        <w:spacing w:before="120" w:after="120" w:line="240" w:lineRule="auto"/>
        <w:ind w:left="120" w:right="120"/>
        <w:jc w:val="both"/>
        <w:rPr>
          <w:rFonts w:ascii="Calibri" w:hAnsi="Calibri" w:cs="Calibri" w:eastAsia="Times New Roman"/>
          <w:color w:val="000000"/>
          <w:sz w:val="27"/>
        </w:rPr>
        <w:pStyle w:val="P68B1DB1-Normal2"/>
      </w:pPr>
      <w:r>
        <w:t xml:space="preserve">1.2.             The Price Proposal shall be prepared in accordance with the model in Appendix V, and shall consist of:</w:t>
      </w:r>
    </w:p>
    <w:p>
      <w:pPr>
        <w:spacing w:before="120" w:after="120" w:line="240" w:lineRule="auto"/>
        <w:ind w:left="1800" w:right="120"/>
        <w:jc w:val="both"/>
        <w:rPr>
          <w:rFonts w:ascii="Calibri" w:hAnsi="Calibri" w:cs="Calibri" w:eastAsia="Times New Roman"/>
          <w:color w:val="000000"/>
          <w:sz w:val="27"/>
        </w:rPr>
        <w:pStyle w:val="P68B1DB1-Normal2"/>
      </w:pPr>
      <w:r>
        <w:t xml:space="preserve">a) percentage of discount;</w:t>
      </w:r>
    </w:p>
    <w:p>
      <w:pPr>
        <w:spacing w:before="120" w:after="120" w:line="240" w:lineRule="auto"/>
        <w:ind w:left="1800" w:right="120"/>
        <w:jc w:val="both"/>
        <w:rPr>
          <w:rFonts w:ascii="Calibri" w:hAnsi="Calibri" w:cs="Calibri" w:eastAsia="Times New Roman"/>
          <w:color w:val="000000"/>
          <w:sz w:val="27"/>
        </w:rPr>
        <w:pStyle w:val="P68B1DB1-Normal2"/>
      </w:pPr>
      <w:r>
        <w:t xml:space="preserve">b) percentage of fees;</w:t>
      </w:r>
    </w:p>
    <w:p>
      <w:pPr>
        <w:spacing w:before="120" w:after="120" w:line="240" w:lineRule="auto"/>
        <w:ind w:left="1800" w:right="120"/>
        <w:jc w:val="both"/>
        <w:rPr>
          <w:rFonts w:ascii="Calibri" w:hAnsi="Calibri" w:cs="Calibri" w:eastAsia="Times New Roman"/>
          <w:color w:val="000000"/>
          <w:sz w:val="27"/>
        </w:rPr>
        <w:pStyle w:val="P68B1DB1-Normal2"/>
      </w:pPr>
      <w:r>
        <w:t xml:space="preserve">c) set of statements;</w:t>
      </w:r>
    </w:p>
    <w:p>
      <w:pPr>
        <w:spacing w:before="120" w:after="120" w:line="240" w:lineRule="auto"/>
        <w:ind w:left="1800" w:right="120"/>
        <w:jc w:val="both"/>
        <w:rPr>
          <w:rFonts w:ascii="Calibri" w:hAnsi="Calibri" w:cs="Calibri" w:eastAsia="Times New Roman"/>
          <w:color w:val="000000"/>
          <w:sz w:val="27"/>
        </w:rPr>
        <w:pStyle w:val="P68B1DB1-Normal2"/>
      </w:pPr>
      <w:r>
        <w:t xml:space="preserve">d) information about the bidder.</w:t>
      </w:r>
    </w:p>
    <w:p>
      <w:pPr>
        <w:spacing w:before="120" w:after="120" w:line="240" w:lineRule="auto"/>
        <w:ind w:left="120" w:right="120"/>
        <w:jc w:val="both"/>
        <w:rPr>
          <w:rFonts w:ascii="Calibri" w:hAnsi="Calibri" w:cs="Calibri" w:eastAsia="Times New Roman"/>
          <w:color w:val="000000"/>
          <w:sz w:val="27"/>
        </w:rPr>
        <w:pStyle w:val="P68B1DB1-Normal2"/>
      </w:pPr>
      <w:r>
        <w:t xml:space="preserve">1.2.1       The percentage of discount levied in a linear manner on the amounts listed in the Annual Estimate Spreadsheet of Execution and Unit Prices of Essential Products and Services, contained in </w:t>
      </w:r>
      <w:r>
        <w:rPr>
          <w:b/>
        </w:rPr>
        <w:t xml:space="preserve">Appendix I, may </w:t>
      </w:r>
      <w:r>
        <w:rPr>
          <w:b/>
          <w:u w:val="single"/>
        </w:rPr>
        <w:t>not</w:t>
      </w:r>
      <w:r>
        <w:rPr>
          <w:b/>
        </w:rPr>
        <w:t xml:space="preserve"> be less than 3% (five percent).</w:t>
      </w:r>
    </w:p>
    <w:p>
      <w:pPr>
        <w:spacing w:before="120" w:after="120" w:line="240" w:lineRule="auto"/>
        <w:ind w:left="120" w:right="120"/>
        <w:jc w:val="both"/>
        <w:rPr>
          <w:rFonts w:ascii="Calibri" w:hAnsi="Calibri" w:cs="Calibri" w:eastAsia="Times New Roman"/>
          <w:color w:val="000000"/>
          <w:sz w:val="27"/>
        </w:rPr>
        <w:pStyle w:val="P68B1DB1-Normal2"/>
      </w:pPr>
      <w:r>
        <w:t xml:space="preserve">1.2.1.1.      The unit prices of the Essential Products and Services, listed in Appendix I, include all internal costs of the bidder, direct and indirect, such as: expenses with planning and presentations; social and labor charges of labor; equipment (</w:t>
      </w:r>
      <w:r>
        <w:rPr>
          <w:i/>
        </w:rPr>
        <w:t>hardware</w:t>
      </w:r>
      <w:r>
        <w:t xml:space="preserve">), programs (</w:t>
      </w:r>
      <w:r>
        <w:rPr>
          <w:i/>
        </w:rPr>
        <w:t>software</w:t>
      </w:r>
      <w:r>
        <w:t xml:space="preserve">); taxes; fees; insurance; and other financial obligations, of any nature, involved in the execution of the object of the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1.2.2.        The percentage of fees levied on the prices of Complementary Products and Services, provided through specialized suppliers with the intermediation and supervision of the bidder, whose categories are listed in </w:t>
      </w:r>
      <w:r>
        <w:rPr>
          <w:b/>
        </w:rPr>
        <w:t xml:space="preserve">Appendix II, may </w:t>
      </w:r>
      <w:r>
        <w:rPr>
          <w:b/>
          <w:u w:val="single"/>
        </w:rPr>
        <w:t>not</w:t>
      </w:r>
      <w:r>
        <w:rPr>
          <w:b/>
        </w:rPr>
        <w:t xml:space="preserve"> exceed 3% (five percent).</w:t>
      </w:r>
    </w:p>
    <w:p>
      <w:pPr>
        <w:spacing w:before="120" w:after="120" w:line="240" w:lineRule="auto"/>
        <w:ind w:left="120" w:right="120"/>
        <w:jc w:val="both"/>
        <w:rPr>
          <w:rFonts w:ascii="Calibri" w:hAnsi="Calibri" w:cs="Calibri" w:eastAsia="Times New Roman"/>
          <w:color w:val="000000"/>
          <w:sz w:val="27"/>
        </w:rPr>
        <w:pStyle w:val="P68B1DB1-Normal2"/>
      </w:pPr>
      <w:r>
        <w:t xml:space="preserve">1.3.             The percentages of discount and fees must be presented in numerical values, with 2 (two) decimal places, and in full.      </w:t>
      </w:r>
    </w:p>
    <w:p>
      <w:pPr>
        <w:spacing w:before="120" w:after="120" w:line="240" w:lineRule="auto"/>
        <w:ind w:left="120" w:right="120"/>
        <w:jc w:val="both"/>
        <w:rPr>
          <w:rFonts w:ascii="Calibri" w:hAnsi="Calibri" w:cs="Calibri" w:eastAsia="Times New Roman"/>
          <w:color w:val="000000"/>
          <w:sz w:val="27"/>
        </w:rPr>
        <w:pStyle w:val="P68B1DB1-Normal2"/>
      </w:pPr>
      <w:r>
        <w:t xml:space="preserve">1.4.             The validity period of the Price Proposal must be at least </w:t>
      </w:r>
      <w:r>
        <w:rPr>
          <w:b/>
        </w:rPr>
        <w:t xml:space="preserve">ninety (90) calendar days</w:t>
      </w:r>
      <w:r>
        <w:t xml:space="preserve">, counted from its presentation</w:t>
      </w:r>
    </w:p>
    <w:p>
      <w:pPr>
        <w:spacing w:before="120" w:after="120" w:line="240" w:lineRule="auto"/>
        <w:ind w:left="120" w:right="120"/>
        <w:jc w:val="both"/>
        <w:rPr>
          <w:rFonts w:ascii="Calibri" w:hAnsi="Calibri" w:cs="Calibri" w:eastAsia="Times New Roman"/>
          <w:color w:val="000000"/>
          <w:sz w:val="27"/>
        </w:rPr>
        <w:pStyle w:val="P68B1DB1-Normal2"/>
      </w:pPr>
      <w:r>
        <w:t xml:space="preserve">1.4.1.       If the bidder fixes a validity period shorter than that required in sub-item 1.4 or, still, is with the validity period of its proposal expired at the opening session of the wrappers with the Price Proposals, the Special Bidding Committee will carry out with it due diligence, as a way of extending said period.</w:t>
      </w:r>
    </w:p>
    <w:p>
      <w:pPr>
        <w:spacing w:before="120" w:after="120" w:line="240" w:lineRule="auto"/>
        <w:ind w:left="120" w:right="120"/>
        <w:jc w:val="both"/>
        <w:rPr>
          <w:rFonts w:ascii="Calibri" w:hAnsi="Calibri" w:cs="Calibri" w:eastAsia="Times New Roman"/>
          <w:color w:val="000000"/>
          <w:sz w:val="27"/>
        </w:rPr>
        <w:pStyle w:val="P68B1DB1-Normal2"/>
      </w:pPr>
      <w:r>
        <w:t xml:space="preserve">1.4.1.1.    The bidder who does not accept to extend the expiration date expired at the opening of the enclosures with the Price Proposals or before the closing of the bidding process will be disqualified.</w:t>
      </w:r>
    </w:p>
    <w:p>
      <w:pPr>
        <w:spacing w:before="120" w:after="120" w:line="240" w:lineRule="auto"/>
        <w:ind w:left="120" w:right="120"/>
        <w:jc w:val="both"/>
        <w:rPr>
          <w:rFonts w:ascii="Calibri" w:hAnsi="Calibri" w:cs="Calibri" w:eastAsia="Times New Roman"/>
          <w:color w:val="000000"/>
          <w:sz w:val="27"/>
        </w:rPr>
        <w:pStyle w:val="P68B1DB1-Normal2"/>
      </w:pPr>
      <w:r>
        <w:t xml:space="preserve">1.5.         The prices of the Essential Products and Services, resulting from the proposed discount percentage, are the sole responsibility of the bidder and will not be entitled to claim any subsequent changes, under the allegation of error, omission or any other pretext.</w:t>
      </w:r>
    </w:p>
    <w:p>
      <w:pPr>
        <w:spacing w:before="120" w:after="120" w:line="240" w:lineRule="auto"/>
        <w:ind w:left="120" w:right="120"/>
        <w:jc w:val="both"/>
        <w:rPr>
          <w:rFonts w:ascii="Calibri" w:hAnsi="Calibri" w:cs="Calibri" w:eastAsia="Times New Roman"/>
          <w:color w:val="000000"/>
          <w:sz w:val="27"/>
        </w:rPr>
        <w:pStyle w:val="P68B1DB1-Normal2"/>
      </w:pPr>
      <w:r>
        <w:t xml:space="preserve">2.               The Price Proposals of the bidders </w:t>
      </w:r>
      <w:r>
        <w:rPr>
          <w:u w:val="single"/>
        </w:rPr>
        <w:t>classified</w:t>
      </w:r>
      <w:r>
        <w:t xml:space="preserve"> in the judgment of the Technical Proposals will be analyzed as to the fulfillment of the conditions established in this Basic Project.</w:t>
      </w:r>
    </w:p>
    <w:p>
      <w:pPr>
        <w:spacing w:before="120" w:after="120" w:line="240" w:lineRule="auto"/>
        <w:ind w:left="120" w:right="120"/>
        <w:jc w:val="both"/>
        <w:rPr>
          <w:rFonts w:ascii="Calibri" w:hAnsi="Calibri" w:cs="Calibri" w:eastAsia="Times New Roman"/>
          <w:color w:val="000000"/>
          <w:sz w:val="27"/>
        </w:rPr>
        <w:pStyle w:val="P68B1DB1-Normal2"/>
      </w:pPr>
      <w:r>
        <w:t xml:space="preserve">2.1.           The Enclosures with the Price Proposals of the disqualified bidders will be under the custody of the Special Bidding Committee.</w:t>
      </w:r>
    </w:p>
    <w:p>
      <w:pPr>
        <w:spacing w:before="120" w:after="120" w:line="240" w:lineRule="auto"/>
        <w:ind w:left="120" w:right="120"/>
        <w:jc w:val="both"/>
        <w:rPr>
          <w:rFonts w:ascii="Calibri" w:hAnsi="Calibri" w:cs="Calibri" w:eastAsia="Times New Roman"/>
          <w:color w:val="000000"/>
          <w:sz w:val="27"/>
        </w:rPr>
        <w:pStyle w:val="P68B1DB1-Normal2"/>
      </w:pPr>
      <w:r>
        <w:t xml:space="preserve">2.2.           The Special Bidding Committee will verify the correct completion by the bidder of the information presented in its </w:t>
      </w:r>
      <w:r>
        <w:rPr>
          <w:b/>
        </w:rPr>
        <w:t xml:space="preserve">Price Proposal, according to the model in Appendix V.</w:t>
      </w:r>
    </w:p>
    <w:p>
      <w:pPr>
        <w:spacing w:before="120" w:after="120" w:line="240" w:lineRule="auto"/>
        <w:ind w:left="120" w:right="120"/>
        <w:jc w:val="both"/>
        <w:rPr>
          <w:rFonts w:ascii="Calibri" w:hAnsi="Calibri" w:cs="Calibri" w:eastAsia="Times New Roman"/>
          <w:color w:val="000000"/>
          <w:sz w:val="27"/>
        </w:rPr>
        <w:pStyle w:val="P68B1DB1-Normal2"/>
      </w:pPr>
      <w:r>
        <w:t xml:space="preserve">2.3.           The Price Proposal that presents a discount percentage or percentage of fees based on another Proposal, that contains any condition for the delivery of the products and services, that does not contain any of the information requested in this Appendix, or that is considered unenforceable by EMBRATUR, in compliance with the applicable legislation, will be </w:t>
      </w:r>
      <w:r>
        <w:rPr>
          <w:u w:val="single"/>
        </w:rPr>
        <w:t>disqualified</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2.4.           The </w:t>
      </w:r>
      <w:r>
        <w:rPr>
          <w:u w:val="single"/>
        </w:rPr>
        <w:t xml:space="preserve">lowest price Proposal</w:t>
      </w:r>
      <w:r>
        <w:t xml:space="preserve"> at which it submits, simultaneously, will be considered:</w:t>
      </w:r>
    </w:p>
    <w:p>
      <w:pPr>
        <w:spacing w:before="120" w:after="120" w:line="240" w:lineRule="auto"/>
        <w:ind w:left="1800" w:right="120"/>
        <w:jc w:val="both"/>
        <w:rPr>
          <w:rFonts w:ascii="Calibri" w:hAnsi="Calibri" w:cs="Calibri" w:eastAsia="Times New Roman"/>
          <w:color w:val="000000"/>
          <w:sz w:val="27"/>
        </w:rPr>
        <w:pStyle w:val="P68B1DB1-Normal2"/>
      </w:pPr>
      <w:r>
        <w:t xml:space="preserve">a) </w:t>
      </w:r>
      <w:r>
        <w:rPr>
          <w:b/>
          <w:u w:val="single"/>
        </w:rPr>
        <w:t>highest</w:t>
      </w:r>
      <w:r>
        <w:rPr>
          <w:b/>
        </w:rPr>
        <w:t xml:space="preserve"> percentage of discount</w:t>
      </w:r>
      <w:r>
        <w:t xml:space="preserve">, to be granted to the Contracting Party, levied in a linear manner on the amounts listed in the Annual Estimate Spreadsheet of Execution and Unit Prices of Essential Products and Services, contained in </w:t>
      </w:r>
      <w:r>
        <w:rPr>
          <w:b/>
        </w:rPr>
        <w:t xml:space="preserve">Appendix I</w:t>
      </w:r>
      <w:r>
        <w:t xml:space="preserve">; and</w:t>
      </w:r>
    </w:p>
    <w:p>
      <w:pPr>
        <w:spacing w:before="120" w:after="120" w:line="240" w:lineRule="auto"/>
        <w:ind w:left="1800" w:right="120"/>
        <w:jc w:val="both"/>
        <w:rPr>
          <w:rFonts w:ascii="Calibri" w:hAnsi="Calibri" w:cs="Calibri" w:eastAsia="Times New Roman"/>
          <w:color w:val="000000"/>
          <w:sz w:val="27"/>
        </w:rPr>
        <w:pStyle w:val="P68B1DB1-Normal2"/>
      </w:pPr>
      <w:r>
        <w:t xml:space="preserve">b) </w:t>
      </w:r>
      <w:r>
        <w:rPr>
          <w:b/>
          <w:u w:val="single"/>
        </w:rPr>
        <w:t>lower</w:t>
      </w:r>
      <w:r>
        <w:rPr>
          <w:b/>
        </w:rPr>
        <w:t xml:space="preserve"> percentage of fees</w:t>
      </w:r>
      <w:r>
        <w:t xml:space="preserve"> levied on the prices of Complementary Products and Services provided through specialized suppliers with the intermediation and supervision of the bidder, whose categories are listed in </w:t>
      </w:r>
      <w:r>
        <w:rPr>
          <w:b/>
        </w:rPr>
        <w:t xml:space="preserve">Appendix II</w:t>
      </w:r>
      <w:r>
        <w:t>.</w:t>
      </w:r>
    </w:p>
    <w:p>
      <w:pPr>
        <w:spacing w:before="120" w:after="120" w:line="240" w:lineRule="auto"/>
        <w:ind w:left="120" w:right="120"/>
        <w:jc w:val="both"/>
        <w:rPr>
          <w:rFonts w:ascii="Calibri" w:hAnsi="Calibri" w:cs="Calibri" w:eastAsia="Times New Roman"/>
          <w:color w:val="000000"/>
          <w:sz w:val="27"/>
        </w:rPr>
        <w:pStyle w:val="P68B1DB1-Normal2"/>
      </w:pPr>
      <w:r>
        <w:t xml:space="preserve">2.5.           If the same proposal does not present the conditions established in sub-item 2.4, the Proposal with the lowest price will be considered the one that presents the highest percentage of discount, to be granted to the Contracting Party, incident in a linear manner on the values listed in the Annual Estimate Spreadsheet of Execution and Unit Prices of Essential Products and Services, contained in Appendix I.</w:t>
      </w:r>
    </w:p>
    <w:p>
      <w:pPr>
        <w:spacing w:before="120" w:after="120" w:line="240" w:lineRule="auto"/>
        <w:ind w:left="120" w:right="120"/>
        <w:jc w:val="both"/>
        <w:rPr>
          <w:rFonts w:ascii="Calibri" w:hAnsi="Calibri" w:cs="Calibri" w:eastAsia="Times New Roman"/>
          <w:color w:val="000000"/>
          <w:sz w:val="27"/>
        </w:rPr>
        <w:pStyle w:val="P68B1DB1-Normal2"/>
      </w:pPr>
      <w:r>
        <w:t xml:space="preserve">2.6.           If there is a tie of the highest discount percentage, it will be considered as the lowest price Proposal at which it presents the lowest percentage of fees.</w:t>
      </w:r>
    </w:p>
    <w:p>
      <w:pPr>
        <w:spacing w:before="120" w:after="120" w:line="240" w:lineRule="auto"/>
        <w:ind w:left="120" w:right="120"/>
        <w:jc w:val="both"/>
        <w:rPr>
          <w:rFonts w:ascii="Calibri" w:hAnsi="Calibri" w:cs="Calibri" w:eastAsia="Times New Roman"/>
          <w:color w:val="000000"/>
          <w:sz w:val="27"/>
        </w:rPr>
        <w:pStyle w:val="P68B1DB1-Normal2"/>
      </w:pPr>
      <w:r>
        <w:t xml:space="preserve">2.7.           If there is a discrepancy between the percentage expressed in figures and that expressed in words, the price in words will be considered.</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V - MODEL PRICE PROPOSAL</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numPr>
          <w:ilvl w:val="0"/>
          <w:numId w:val="19"/>
        </w:numPr>
        <w:spacing w:before="120" w:after="120" w:line="240" w:lineRule="auto"/>
        <w:ind w:left="840" w:right="120" w:firstLine="0"/>
        <w:jc w:val="both"/>
        <w:rPr>
          <w:rFonts w:ascii="Calibri" w:hAnsi="Calibri" w:cs="Calibri" w:eastAsia="Times New Roman"/>
          <w:color w:val="000000"/>
          <w:sz w:val="24"/>
        </w:rPr>
        <w:pStyle w:val="P68B1DB1-Normal4"/>
      </w:pPr>
      <w:r>
        <w:t xml:space="preserve">We declare that, if this company is hired by EMBRATUR, as a result of the above contracting procedure, we will adopt the following prices in the execution of the contract:</w:t>
      </w:r>
    </w:p>
    <w:p>
      <w:pPr>
        <w:numPr>
          <w:ilvl w:val="0"/>
          <w:numId w:val="20"/>
        </w:numPr>
        <w:spacing w:before="120" w:after="120" w:line="240" w:lineRule="auto"/>
        <w:ind w:left="840" w:right="120" w:firstLine="0"/>
        <w:jc w:val="both"/>
        <w:rPr>
          <w:rFonts w:ascii="Calibri" w:hAnsi="Calibri" w:cs="Calibri" w:eastAsia="Times New Roman"/>
          <w:color w:val="000000"/>
          <w:sz w:val="24"/>
        </w:rPr>
        <w:pStyle w:val="P68B1DB1-Normal4"/>
      </w:pPr>
      <w:r>
        <w:t xml:space="preserve">Percentage </w:t>
      </w:r>
      <w:r>
        <w:rPr>
          <w:u w:val="single"/>
        </w:rPr>
        <w:t>discount</w:t>
      </w:r>
      <w:r>
        <w:t xml:space="preserve"> of</w:t>
      </w:r>
      <w:r>
        <w:rPr>
          <w:b/>
        </w:rPr>
        <w:t xml:space="preserve">........% (..................................percent)</w:t>
      </w:r>
      <w:r>
        <w:t xml:space="preserve">, to be granted to EMBRATUR, incident in a linear manner on the values listed in the Execution Estimate Spreadsheet and Unit Prices of Essential Products and Services, contained in Appendix I of the Basic Project of this contracting procedure; and</w:t>
      </w:r>
    </w:p>
    <w:p>
      <w:pPr>
        <w:numPr>
          <w:ilvl w:val="0"/>
          <w:numId w:val="21"/>
        </w:numPr>
        <w:spacing w:before="120" w:after="120" w:line="240" w:lineRule="auto"/>
        <w:ind w:left="840" w:right="120" w:firstLine="0"/>
        <w:jc w:val="both"/>
        <w:rPr>
          <w:rFonts w:ascii="Calibri" w:hAnsi="Calibri" w:cs="Calibri" w:eastAsia="Times New Roman"/>
          <w:color w:val="000000"/>
          <w:sz w:val="24"/>
        </w:rPr>
        <w:pStyle w:val="P68B1DB1-Normal4"/>
      </w:pPr>
      <w:r>
        <w:t xml:space="preserve">Percentage of </w:t>
      </w:r>
      <w:r>
        <w:rPr>
          <w:u w:val="single"/>
        </w:rPr>
        <w:t>fees</w:t>
      </w:r>
      <w:r>
        <w:t xml:space="preserve"> of</w:t>
      </w:r>
      <w:r>
        <w:rPr>
          <w:b/>
        </w:rPr>
        <w:t xml:space="preserve">........% (..................................percent)</w:t>
      </w:r>
      <w:r>
        <w:t xml:space="preserve">, levied on the prices of Complementary Products and Services provided through specialized suppliers with the intermediation and supervision of this bidder, whose categories are listed in Appendix II of the Basic Project of this contracting procedure.</w:t>
      </w:r>
    </w:p>
    <w:p>
      <w:pPr>
        <w:spacing w:before="120" w:after="120" w:line="240" w:lineRule="auto"/>
        <w:ind w:left="120" w:right="120"/>
        <w:jc w:val="both"/>
        <w:rPr>
          <w:rFonts w:ascii="Calibri" w:hAnsi="Calibri" w:cs="Calibri" w:eastAsia="Times New Roman"/>
          <w:color w:val="000000"/>
          <w:sz w:val="27"/>
        </w:rPr>
        <w:pStyle w:val="P68B1DB1-Normal2"/>
      </w:pPr>
      <w:r>
        <w:t xml:space="preserve">4. We further declare that:</w:t>
      </w:r>
    </w:p>
    <w:p>
      <w:pPr>
        <w:spacing w:before="120" w:after="120" w:line="240" w:lineRule="auto"/>
        <w:ind w:left="1800" w:right="120"/>
        <w:jc w:val="both"/>
        <w:rPr>
          <w:rFonts w:ascii="Calibri" w:hAnsi="Calibri" w:cs="Calibri" w:eastAsia="Times New Roman"/>
          <w:color w:val="000000"/>
          <w:sz w:val="27"/>
        </w:rPr>
        <w:pStyle w:val="P68B1DB1-Normal2"/>
      </w:pPr>
      <w:r>
        <w:t xml:space="preserve">a) the property rights on the authorship of the contents, as well as the rights of use of the data collected, including the studies, analyzes and plans prepared by this bidder, through our employees or agents, as a result of the execution of the contract, become fully of EMBRATUR;</w:t>
      </w:r>
    </w:p>
    <w:p>
      <w:pPr>
        <w:spacing w:before="120" w:after="120" w:line="240" w:lineRule="auto"/>
        <w:ind w:left="1800" w:right="120"/>
        <w:jc w:val="both"/>
        <w:rPr>
          <w:rFonts w:ascii="Calibri" w:hAnsi="Calibri" w:cs="Calibri" w:eastAsia="Times New Roman"/>
          <w:color w:val="000000"/>
          <w:sz w:val="27"/>
        </w:rPr>
        <w:pStyle w:val="P68B1DB1-Normal2"/>
      </w:pPr>
      <w:r>
        <w:t xml:space="preserve">a1) values equivalent to the remuneration of these rights, mentioned in point ‘a‘, are considered to be included in the remuneration of products and services;</w:t>
      </w:r>
    </w:p>
    <w:p>
      <w:pPr>
        <w:spacing w:before="120" w:after="120" w:line="240" w:lineRule="auto"/>
        <w:ind w:left="1800" w:right="120"/>
        <w:jc w:val="both"/>
        <w:rPr>
          <w:rFonts w:ascii="Calibri" w:hAnsi="Calibri" w:cs="Calibri" w:eastAsia="Times New Roman"/>
          <w:color w:val="000000"/>
          <w:sz w:val="27"/>
        </w:rPr>
        <w:pStyle w:val="P68B1DB1-Normal2"/>
      </w:pPr>
      <w:r>
        <w:t xml:space="preserve">a2) EMBRATUR may, at its discretion, use the rights referred to in item ‘a’ during the term of the contract to be entered into, and even after its termination or eventual termination, without any burden;</w:t>
      </w:r>
    </w:p>
    <w:p>
      <w:pPr>
        <w:spacing w:before="120" w:after="120" w:line="240" w:lineRule="auto"/>
        <w:ind w:left="1800" w:right="120"/>
        <w:jc w:val="both"/>
        <w:rPr>
          <w:rFonts w:ascii="Calibri" w:hAnsi="Calibri" w:cs="Calibri" w:eastAsia="Times New Roman"/>
          <w:color w:val="000000"/>
          <w:sz w:val="27"/>
        </w:rPr>
        <w:pStyle w:val="P68B1DB1-Normal2"/>
      </w:pPr>
      <w:r>
        <w:t xml:space="preserve">b) in the prices of the Essential Products and Services, resulting from the discount percentage proposed above, are included all our internal costs, direct and indirect, such as: expenses with planning and presentations; social and labor charges of labor; equipment (</w:t>
      </w:r>
      <w:r>
        <w:rPr>
          <w:i/>
        </w:rPr>
        <w:t>hardware</w:t>
      </w:r>
      <w:r>
        <w:t xml:space="preserve">), programs (</w:t>
      </w:r>
      <w:r>
        <w:rPr>
          <w:i/>
        </w:rPr>
        <w:t>software</w:t>
      </w:r>
      <w:r>
        <w:t xml:space="preserve">); taxes; fees; insurance; and other financial obligations, of any nature, involved in the execution of the object of the contract and no compensation related to these costs will be claimed;</w:t>
      </w:r>
    </w:p>
    <w:p>
      <w:pPr>
        <w:spacing w:before="120" w:after="120" w:line="240" w:lineRule="auto"/>
        <w:ind w:left="1800" w:right="120"/>
        <w:jc w:val="both"/>
        <w:rPr>
          <w:rFonts w:ascii="Calibri" w:hAnsi="Calibri" w:cs="Calibri" w:eastAsia="Times New Roman"/>
          <w:color w:val="000000"/>
          <w:sz w:val="27"/>
        </w:rPr>
        <w:pStyle w:val="P68B1DB1-Normal2"/>
      </w:pPr>
      <w:r>
        <w:t xml:space="preserve">c) the percentages proposed above are our sole responsibility and we will not be entitled to claim any subsequent changes, under the allegation of error, omission or any other pretext, during the term of the contract if it is signed;</w:t>
      </w:r>
    </w:p>
    <w:p>
      <w:pPr>
        <w:spacing w:before="120" w:after="120" w:line="240" w:lineRule="auto"/>
        <w:ind w:left="1800" w:right="120"/>
        <w:jc w:val="both"/>
        <w:rPr>
          <w:rFonts w:ascii="Calibri" w:hAnsi="Calibri" w:cs="Calibri" w:eastAsia="Times New Roman"/>
          <w:color w:val="000000"/>
          <w:sz w:val="27"/>
        </w:rPr>
        <w:pStyle w:val="P68B1DB1-Normal2"/>
      </w:pPr>
      <w:r>
        <w:t xml:space="preserve">d) we undertake to strive to obtain the best conditions in commercial negotiations with specialized suppliers, transferring to EMBRATUR all the advantages obtained;</w:t>
      </w:r>
    </w:p>
    <w:p>
      <w:pPr>
        <w:spacing w:before="120" w:after="120" w:line="240" w:lineRule="auto"/>
        <w:ind w:left="1800" w:right="120"/>
        <w:jc w:val="both"/>
        <w:rPr>
          <w:rFonts w:ascii="Calibri" w:hAnsi="Calibri" w:cs="Calibri" w:eastAsia="Times New Roman"/>
          <w:color w:val="000000"/>
          <w:sz w:val="27"/>
        </w:rPr>
        <w:pStyle w:val="P68B1DB1-Normal2"/>
      </w:pPr>
      <w:r>
        <w:t xml:space="preserve">d1) we guarantee the full payment of the amounts due to specialized suppliers, after the settlement of expenses and payment by EMBRATUR, pursuant to item 9 and sub-item 7.1.42 of the Basic Project of this contracting procedure;</w:t>
      </w:r>
    </w:p>
    <w:p>
      <w:pPr>
        <w:spacing w:before="120" w:after="120" w:line="240" w:lineRule="auto"/>
        <w:ind w:left="1800" w:right="120"/>
        <w:jc w:val="both"/>
        <w:rPr>
          <w:rFonts w:ascii="Calibri" w:hAnsi="Calibri" w:cs="Calibri" w:eastAsia="Times New Roman"/>
          <w:color w:val="000000"/>
          <w:sz w:val="27"/>
        </w:rPr>
        <w:pStyle w:val="P68B1DB1-Normal2"/>
      </w:pPr>
      <w:r>
        <w:t xml:space="preserve">e) we will maintain, by ourselves and our agents, unrestricted and total secrecy about any information provided to us and that we are aware that the violation of this provision will imply the immediate termination of the contract that may be signed and will subject us to the penalties of Law No. 9.279/1996 and to the indemnities for damages provided for in the ordinary legislation;</w:t>
      </w:r>
    </w:p>
    <w:p>
      <w:pPr>
        <w:spacing w:before="120" w:after="120" w:line="240" w:lineRule="auto"/>
        <w:ind w:left="1800" w:right="120"/>
        <w:jc w:val="both"/>
        <w:rPr>
          <w:rFonts w:ascii="Calibri" w:hAnsi="Calibri" w:cs="Calibri" w:eastAsia="Times New Roman"/>
          <w:color w:val="000000"/>
          <w:sz w:val="27"/>
        </w:rPr>
        <w:pStyle w:val="P68B1DB1-Normal2"/>
      </w:pPr>
      <w:r>
        <w:t xml:space="preserve">f) we are aware that EMBRATUR will withhold taxes and contributions in the situations provided by law; and</w:t>
      </w:r>
    </w:p>
    <w:p>
      <w:pPr>
        <w:spacing w:before="120" w:after="120" w:line="240" w:lineRule="auto"/>
        <w:ind w:left="1800" w:right="120"/>
        <w:jc w:val="both"/>
        <w:rPr>
          <w:rFonts w:ascii="Calibri" w:hAnsi="Calibri" w:cs="Calibri" w:eastAsia="Times New Roman"/>
          <w:color w:val="000000"/>
          <w:sz w:val="27"/>
        </w:rPr>
        <w:pStyle w:val="P68B1DB1-Normal2"/>
      </w:pPr>
      <w:r>
        <w:t xml:space="preserve">g) this Price Proposal is in accordance with the rules contained in the Basic Project and other documents of this contracting procedure and is valid for 90 (ninety) days.</w:t>
      </w:r>
    </w:p>
    <w:p>
      <w:pPr>
        <w:spacing w:before="120" w:after="120" w:line="240" w:lineRule="auto"/>
        <w:ind w:left="120" w:right="120"/>
        <w:jc w:val="both"/>
        <w:rPr>
          <w:rFonts w:ascii="Calibri" w:hAnsi="Calibri" w:cs="Calibri" w:eastAsia="Times New Roman"/>
          <w:color w:val="000000"/>
          <w:sz w:val="27"/>
        </w:rPr>
        <w:pStyle w:val="P68B1DB1-Normal2"/>
      </w:pPr>
      <w:r>
        <w:t xml:space="preserve">5. Finally, we inform the following data:</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8"/>
      </w:tblGrid>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Business name: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Address: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CEP:</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CNPJ:</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State or Municipal Registration:</w:t>
            </w:r>
          </w:p>
        </w:tc>
      </w:tr>
    </w:tbl>
    <w:p>
      <w:pPr>
        <w:spacing w:before="120" w:after="120" w:line="240" w:lineRule="auto"/>
        <w:ind w:left="120" w:right="120"/>
        <w:rPr>
          <w:rFonts w:ascii="Calibri" w:hAnsi="Calibri" w:cs="Calibri" w:eastAsia="Times New Roman"/>
          <w:color w:val="000000"/>
          <w:sz w:val="27"/>
        </w:rPr>
        <w:pStyle w:val="P68B1DB1-Normal2"/>
      </w:pPr>
      <w:r>
        <w:t xml:space="preserve">Place and date full name of the bidder, name, position and signature of the legal representatives.</w:t>
      </w:r>
    </w:p>
    <w:p>
      <w:pPr>
        <w:spacing w:before="120" w:after="120" w:line="240" w:lineRule="auto"/>
        <w:ind w:left="120" w:right="120"/>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VI – BRIEFING</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 </w:t>
      </w:r>
    </w:p>
    <w:p>
      <w:pPr>
        <w:spacing w:before="120" w:after="120" w:line="240" w:lineRule="auto"/>
        <w:ind w:left="120" w:right="120"/>
        <w:jc w:val="center"/>
        <w:rPr>
          <w:rFonts w:ascii="Calibri" w:hAnsi="Calibri" w:cs="Calibri" w:eastAsia="Times New Roman"/>
          <w:color w:val="000000"/>
          <w:sz w:val="27"/>
        </w:rPr>
        <w:pStyle w:val="P68B1DB1-Normal8"/>
      </w:pPr>
      <w:r>
        <w:t xml:space="preserve">Confidential until the publication of the Certame</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VII – PERFORMANCE EVALUATION INSTRUMENT</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1.                This document presents criteria for evaluating the quality of services, identifying indicators, goals, calculation mechanisms, form of monitoring and payment adjustments for eventual failure to meet the established goals.</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04"/>
        <w:gridCol w:w="6184"/>
      </w:tblGrid>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Compliance with contractual obligations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Item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Description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Purpose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Ensure the quality of EMBRATUR's Corporate Communication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Goal to be fulfilled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Contractual obligations fulfilled</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Measurement instruments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Direct assessment of the Inspector through written notification.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Follow-up Form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Analysis of deliverables</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Periodicity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Service Order</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Calculation mechanism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Sum of the percentages relative to the grades of</w:t>
            </w:r>
          </w:p>
          <w:p>
            <w:pPr>
              <w:spacing w:before="120" w:after="120" w:line="240" w:lineRule="auto"/>
              <w:ind w:left="120" w:right="120"/>
              <w:jc w:val="both"/>
              <w:rPr>
                <w:rFonts w:ascii="Calibri" w:hAnsi="Calibri" w:cs="Calibri" w:eastAsia="Times New Roman"/>
                <w:color w:val="000000"/>
                <w:sz w:val="24"/>
              </w:rPr>
              <w:pStyle w:val="P68B1DB1-Normal4"/>
            </w:pPr>
            <w:r>
              <w:t xml:space="preserve">Penalties notified (Table 1).</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Start of Duration</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Execution Date of the Contract;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Sanctions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a) Discount on invoice according to the sum of the percentages related to the degrees of the penalties notified by service order, up to the limit of 50%.</w:t>
            </w:r>
          </w:p>
          <w:p>
            <w:pPr>
              <w:spacing w:before="120" w:after="120" w:line="240" w:lineRule="auto"/>
              <w:ind w:left="120" w:right="120"/>
              <w:jc w:val="both"/>
              <w:rPr>
                <w:rFonts w:ascii="Calibri" w:hAnsi="Calibri" w:cs="Calibri" w:eastAsia="Times New Roman"/>
                <w:color w:val="000000"/>
                <w:sz w:val="24"/>
              </w:rPr>
              <w:pStyle w:val="P68B1DB1-Normal4"/>
            </w:pPr>
            <w:r>
              <w:t xml:space="preserve">b) The recurrence of the discount in the percentage of 50% of the value of the product in the period 06 (six) months of the contract will imply its termination, without prejudice to other penalties provided for in the Notice, in the Contract and in the legislation.</w:t>
            </w:r>
          </w:p>
          <w:p>
            <w:pPr>
              <w:spacing w:before="120" w:after="120" w:line="240" w:lineRule="auto"/>
              <w:ind w:left="120" w:right="120"/>
              <w:jc w:val="both"/>
              <w:rPr>
                <w:rFonts w:ascii="Calibri" w:hAnsi="Calibri" w:cs="Calibri" w:eastAsia="Times New Roman"/>
                <w:color w:val="000000"/>
                <w:sz w:val="24"/>
              </w:rPr>
              <w:pStyle w:val="P68B1DB1-Normal4"/>
            </w:pPr>
            <w:r>
              <w:t xml:space="preserve"> </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Comments</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The notification must include the item number of the evaluation indicator violated (Table 02) and the signature of the company's supervisor</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32"/>
        <w:gridCol w:w="4158"/>
      </w:tblGrid>
      <w:tr>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5"/>
            </w:pPr>
            <w:r>
              <w:t xml:space="preserve">Table 01</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Degree of Infringement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 xml:space="preserve">Percentage of discount application</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0.2% of the value of the "Product"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0.4% on the value of the "Product"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0.8% on the value of the "Product"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1.6% on the value of the "Product"</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3.2% on the value of the "Product"</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21"/>
        <w:gridCol w:w="4708"/>
        <w:gridCol w:w="756"/>
        <w:gridCol w:w="1403"/>
      </w:tblGrid>
      <w:tr>
        <w:trPr>
          <w:tblCellSpacing w:w="0" w:type="dxa"/>
        </w:trPr>
        <w:tc>
          <w:tcPr>
            <w:tcW w:w="0" w:type="auto"/>
            <w:gridSpan w:val="4"/>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15"/>
            </w:pPr>
            <w:r>
              <w:t xml:space="preserve">Table 2</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Item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Description</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Grade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7"/>
            </w:pPr>
            <w:r>
              <w:t>Incidence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2"/>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Not to perform the contracted services, with its own resources, and/or supervise subcontracted services, related to the object of this contract, upon demand of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3"/>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use, in the preparation of the services object of this contract, the professionals indicated in the Technical Proposal of the competition that gave rise to this instrument, for the purpose of proving the Service Capacity.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4"/>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Replace the professionals involved in the contractual execution without the knowledge and consent of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5"/>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make efforts to obtain the best conditions in commercial negotiations with suppliers of goods and specialized services and vehicles for dissemination or not transfer to the Contracting Party all the advantages obtained.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6"/>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strictly observe the specifications stipulated by the Contracting Party in the supply of products and services related to the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7"/>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exercise quality control in the execution of the services provided, based on the parameters determined by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8"/>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act with attention and responsibility in the preparation of cost estimate of the products and services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29"/>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comply with the conditions established in this contract for the supply of goods and specialized services to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0"/>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observe the deadlines established by the Contracting Party in the conduct of the services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1"/>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Not observing the quality of the material made (</w:t>
            </w:r>
            <w:r>
              <w:rPr>
                <w:b/>
              </w:rPr>
              <w:t xml:space="preserve">spelling errors</w:t>
            </w:r>
            <w:r>
              <w:t xml:space="preserve">, not making available the materials/contents mentioned, graphics that are difficult to understand).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2"/>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Causing losses and damages to the Contracting Party due to its delay, omission or error, in the conduct of the services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3"/>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immediately take action in case of changes, rejections, cancellations or interruptions of one or more services, upon communication from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4"/>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Override the incentive plans to the interests of the Contracting Party, neglecting vehicles that do not grant them or prioritizing those that offer them.</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5"/>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submit to the Contracting Party, for authorization of the communication plan of each action, a list of the means, squares and vehicles from which it will be possible and from which it is impossible to obtain the placement check report, by an independent company.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6"/>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Quote prices for the supply of goods or specialized services to suppliers in which: the same partner or shareholder participates in more than one supplier in the same quotation procedure; and that any manager or employee of the Contractor has a shareholding or commercial or kinship relationship up to the third degree.</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7"/>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ensure the unrestricted and total confidentiality of any data provided to it as a result of the contractual execution, especially regarding the Contracting party's performance strategy.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8"/>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Disclose information about the provision of the services object of this contract, even if accidentally, without the prior and express authorization of the Contracting party.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39"/>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Refuse to reimburse the Contracting Party for any damage or loss arising from any breach of confidentiality of the information provided.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0"/>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provide due clarification to the Contracting Party about any disgraceful acts or facts reported involving the Contractor.</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4</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1"/>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Failure to comply with all laws and positions, federal, state and municipal pertinent to the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2"/>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maintain during the execution of this contract all the conditions of qualification and qualification, required in the competition that gave rise to this instrument.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3"/>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Generate losses and infractions to the Contracting Party in the provision of the services object of this contract.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5</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4"/>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properly pay taxes and fees that are due as a result of the object of this contract, as well as contributions due to Social Security, labor charges, insurance premiums and occupational accidents, charges that may be created and required by the Government and other expenses that may be necessary to fulfill the agreed object.</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3</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5"/>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|||UNTRANSLATED_CONTENT_START|||Não observar na execução dos serviços as boas práticas de sustentabilidade ambiental, de otimização de recursos, de redução de desperdícios e de redução da poluição.|||UNTRANSLATED_CONTENT_END|||</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2</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r>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pPr>
              <w:numPr>
                <w:ilvl w:val="0"/>
                <w:numId w:val="46"/>
              </w:numPr>
              <w:spacing w:before="120" w:after="120" w:line="240" w:lineRule="auto"/>
              <w:ind w:left="840" w:right="120" w:firstLine="0"/>
              <w:jc w:val="both"/>
              <w:rPr>
                <w:rFonts w:ascii="Calibri" w:hAnsi="Calibri" w:cs="Calibri" w:eastAsia="Times New Roman"/>
                <w:color w:val="000000"/>
                <w:sz w:val="24"/>
              </w:rPr>
              <w:pStyle w:val="P68B1DB1-Normal4"/>
            </w:pP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Do not control, on a daily basis, the attendance and punctuality of its personnel, per employee and per day.</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1</w:t>
            </w:r>
          </w:p>
        </w:tc>
        <w:tc>
          <w:tcPr>
            <w:tcW w:w="0" w:type="auto"/>
            <w:tcBorders>
              <w:top w:val="outset" w:sz="6" w:space="0" w:color="auto"/>
              <w:left w:val="outset" w:sz="6" w:space="0" w:color="auto"/>
              <w:bottom w:val="outset" w:sz="6" w:space="0" w:color="auto"/>
              <w:right w:val="outset" w:sz="6" w:space="0" w:color="auto"/>
            </w:tcBorders>
            <w:vAlign w:val="center"/>
            <w:hideMark/>
          </w:tcPr>
          <w:p>
            <w:pPr>
              <w:spacing w:before="120" w:after="120" w:line="240" w:lineRule="auto"/>
              <w:ind w:left="120" w:right="120"/>
              <w:jc w:val="both"/>
              <w:rPr>
                <w:rFonts w:ascii="Calibri" w:hAnsi="Calibri" w:cs="Calibri" w:eastAsia="Times New Roman"/>
                <w:color w:val="000000"/>
                <w:sz w:val="24"/>
              </w:rPr>
              <w:pStyle w:val="P68B1DB1-Normal4"/>
            </w:pPr>
            <w:r>
              <w:t xml:space="preserve">Per occurrence</w:t>
            </w:r>
          </w:p>
        </w:tc>
      </w:tr>
    </w:tbl>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00" w:beforeAutospacing="1" w:after="100" w:afterAutospacing="1" w:line="240" w:lineRule="auto"/>
        <w:jc w:val="center"/>
        <w:rPr>
          <w:rFonts w:ascii="Calibri" w:hAnsi="Calibri" w:cs="Calibri" w:eastAsia="Times New Roman"/>
          <w:b/>
          <w:caps/>
          <w:color w:val="000000"/>
          <w:sz w:val="26"/>
        </w:rPr>
        <w:pStyle w:val="P68B1DB1-Normal10"/>
      </w:pPr>
      <w:r>
        <w:t xml:space="preserve">APPENDIX VIII - TERM OF COMMITMENT</w:t>
      </w:r>
    </w:p>
    <w:p>
      <w:pPr>
        <w:spacing w:before="120" w:after="120" w:line="240" w:lineRule="auto"/>
        <w:ind w:left="120" w:right="120"/>
        <w:jc w:val="both"/>
        <w:rPr>
          <w:rFonts w:ascii="Calibri" w:hAnsi="Calibri" w:cs="Calibri" w:eastAsia="Times New Roman"/>
          <w:color w:val="000000"/>
          <w:sz w:val="27"/>
        </w:rPr>
        <w:pStyle w:val="P68B1DB1-Normal2"/>
      </w:pPr>
      <w:r>
        <w:t xml:space="preserve">Process No. 72100.001418/2021-50 -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both"/>
        <w:rPr>
          <w:rFonts w:ascii="Calibri" w:hAnsi="Calibri" w:cs="Calibri" w:eastAsia="Times New Roman"/>
          <w:color w:val="000000"/>
          <w:sz w:val="27"/>
        </w:rPr>
        <w:pStyle w:val="P68B1DB1-Normal2"/>
      </w:pPr>
      <w:r>
        <w:t xml:space="preserve">1.     I, ______________________________, identity no. ________ issued by ________, CPF no. __________________, employee of _______________________, I agree to take all precautions to ensure the confidentiality, integrity and non-availability of any confidential information, whether internal or external, that has been entrusted to me by Embratur.</w:t>
      </w:r>
    </w:p>
    <w:p>
      <w:pPr>
        <w:spacing w:before="120" w:after="120" w:line="240" w:lineRule="auto"/>
        <w:ind w:left="120" w:right="120"/>
        <w:jc w:val="both"/>
        <w:rPr>
          <w:rFonts w:ascii="Calibri" w:hAnsi="Calibri" w:cs="Calibri" w:eastAsia="Times New Roman"/>
          <w:color w:val="000000"/>
          <w:sz w:val="27"/>
        </w:rPr>
        <w:pStyle w:val="P68B1DB1-Normal2"/>
      </w:pPr>
      <w:r>
        <w:t xml:space="preserve">2.     In this way, I assume, in person, irrevocably and irreversibly, the obligation not to disclose, reproduce, pass on, expose or disclose, under any means, pretext, foundation or justification, the information to which for any reason I have access, as well as to maintain the confidentiality of such information that may be known to me during the entire time that I am acting on behalf of __________________________, remaining in force from the date of disclosure of the confidential information until 15 (fifteen) years after the termination of the contract, to which it is bound, undertaking to comply with and respect all conditions relating to confidentiality, which I declare to be fully known to me.</w:t>
      </w:r>
    </w:p>
    <w:p>
      <w:pPr>
        <w:spacing w:before="120" w:after="120" w:line="240" w:lineRule="auto"/>
        <w:ind w:left="120" w:right="120"/>
        <w:jc w:val="both"/>
        <w:rPr>
          <w:rFonts w:ascii="Calibri" w:hAnsi="Calibri" w:cs="Calibri" w:eastAsia="Times New Roman"/>
          <w:color w:val="000000"/>
          <w:sz w:val="27"/>
        </w:rPr>
        <w:pStyle w:val="P68B1DB1-Normal2"/>
      </w:pPr>
      <w:r>
        <w:t xml:space="preserve">3.     At the end of my employment or contract, I agree to keep confidential all confidential information to which I had access during the performance of my duties. I understand that I am not authorized to use this information for private purposes. Likewise I am not at liberty to pass this information on to third parties without the express written consent of the information officer.</w:t>
      </w:r>
    </w:p>
    <w:p>
      <w:pPr>
        <w:spacing w:before="120" w:after="120" w:line="240" w:lineRule="auto"/>
        <w:ind w:left="120" w:right="120"/>
        <w:jc w:val="both"/>
        <w:rPr>
          <w:rFonts w:ascii="Calibri" w:hAnsi="Calibri" w:cs="Calibri" w:eastAsia="Times New Roman"/>
          <w:color w:val="000000"/>
          <w:sz w:val="27"/>
        </w:rPr>
        <w:pStyle w:val="P68B1DB1-Normal2"/>
      </w:pPr>
      <w:r>
        <w:t xml:space="preserve">4.     I further declare that I am aware that in the event of violation of the confidentiality to which I hereby undertake to maintain on everything that may be known to me during the exercise of my activities, I will be subject to the effects of a criminal, civil and administrative order against its transgressors, assuming the respective responsibilities until the period of twenty years after the termination of the employment contract.</w:t>
      </w:r>
    </w:p>
    <w:p>
      <w:pPr>
        <w:spacing w:before="120" w:after="120" w:line="240" w:lineRule="auto"/>
        <w:ind w:left="120" w:right="120"/>
        <w:jc w:val="both"/>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 xml:space="preserve">Date: _____ ____________________of _______</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pPr>
        <w:spacing w:before="120" w:after="120" w:line="240" w:lineRule="auto"/>
        <w:ind w:left="120" w:right="120"/>
        <w:jc w:val="center"/>
        <w:rPr>
          <w:rFonts w:ascii="Calibri" w:hAnsi="Calibri" w:cs="Calibri" w:eastAsia="Times New Roman"/>
          <w:color w:val="000000"/>
          <w:sz w:val="27"/>
        </w:rPr>
        <w:pStyle w:val="P68B1DB1-Normal2"/>
      </w:pPr>
      <w:r>
        <w:t>______________________________________</w:t>
      </w:r>
    </w:p>
    <w:p>
      <w:pPr>
        <w:spacing w:before="120" w:after="120" w:line="240" w:lineRule="auto"/>
        <w:ind w:left="120" w:right="120"/>
        <w:jc w:val="center"/>
        <w:rPr>
          <w:rFonts w:ascii="Calibri" w:hAnsi="Calibri" w:cs="Calibri" w:eastAsia="Times New Roman"/>
          <w:color w:val="000000"/>
          <w:sz w:val="27"/>
        </w:rPr>
        <w:pStyle w:val="P68B1DB1-Normal2"/>
      </w:pPr>
      <w:r>
        <w:t>Signature</w:t>
      </w:r>
    </w:p>
    <w:p>
      <w:pPr>
        <w:spacing w:before="120" w:after="120" w:line="240" w:lineRule="auto"/>
        <w:ind w:left="120" w:right="120"/>
        <w:jc w:val="center"/>
        <w:rPr>
          <w:rFonts w:ascii="Calibri" w:hAnsi="Calibri" w:cs="Calibri" w:eastAsia="Times New Roman"/>
          <w:color w:val="000000"/>
          <w:sz w:val="27"/>
        </w:rPr>
        <w:pStyle w:val="P68B1DB1-Normal2"/>
      </w:pPr>
      <w:r>
        <w:t xml:space="preserve"> </w:t>
      </w:r>
    </w:p>
    <w:p/>
    <w:sectPr>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2240B"/>
    <w:multiLevelType w:val="multilevel"/>
    <w:tmpl w:val="FF4ED9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3E490F"/>
    <w:multiLevelType w:val="multilevel"/>
    <w:tmpl w:val="06F2C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4529B3"/>
    <w:multiLevelType w:val="multilevel"/>
    <w:tmpl w:val="D9D8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66E5B4A"/>
    <w:multiLevelType w:val="multilevel"/>
    <w:tmpl w:val="D27A1A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82645C7"/>
    <w:multiLevelType w:val="multilevel"/>
    <w:tmpl w:val="6600A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D21FE2"/>
    <w:multiLevelType w:val="multilevel"/>
    <w:tmpl w:val="90D85A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FB543A2"/>
    <w:multiLevelType w:val="multilevel"/>
    <w:tmpl w:val="A4A86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26C7F9C"/>
    <w:multiLevelType w:val="multilevel"/>
    <w:tmpl w:val="949E1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3A31AED"/>
    <w:multiLevelType w:val="multilevel"/>
    <w:tmpl w:val="62828C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5205F0"/>
    <w:multiLevelType w:val="multilevel"/>
    <w:tmpl w:val="D38410C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1966C0"/>
    <w:multiLevelType w:val="multilevel"/>
    <w:tmpl w:val="65CA64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06064C"/>
    <w:multiLevelType w:val="multilevel"/>
    <w:tmpl w:val="5F048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E7271B"/>
    <w:multiLevelType w:val="multilevel"/>
    <w:tmpl w:val="060C44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46FD2"/>
    <w:multiLevelType w:val="multilevel"/>
    <w:tmpl w:val="2D2C359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0980164"/>
    <w:multiLevelType w:val="multilevel"/>
    <w:tmpl w:val="FE92AE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1931970"/>
    <w:multiLevelType w:val="multilevel"/>
    <w:tmpl w:val="2548B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AF264A"/>
    <w:multiLevelType w:val="multilevel"/>
    <w:tmpl w:val="26F29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C9427F7"/>
    <w:multiLevelType w:val="multilevel"/>
    <w:tmpl w:val="D2B29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FF3EF7"/>
    <w:multiLevelType w:val="multilevel"/>
    <w:tmpl w:val="AA201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942B4E"/>
    <w:multiLevelType w:val="multilevel"/>
    <w:tmpl w:val="24E01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355432C"/>
    <w:multiLevelType w:val="multilevel"/>
    <w:tmpl w:val="87040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76C4053"/>
    <w:multiLevelType w:val="multilevel"/>
    <w:tmpl w:val="F7D09B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D72519E"/>
    <w:multiLevelType w:val="multilevel"/>
    <w:tmpl w:val="CE6A31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EC228FA"/>
    <w:multiLevelType w:val="multilevel"/>
    <w:tmpl w:val="8D80D5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FF77DF7"/>
    <w:multiLevelType w:val="multilevel"/>
    <w:tmpl w:val="6D0CE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16F5A92"/>
    <w:multiLevelType w:val="multilevel"/>
    <w:tmpl w:val="C2FE1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6541F81"/>
    <w:multiLevelType w:val="multilevel"/>
    <w:tmpl w:val="891A4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93A5F73"/>
    <w:multiLevelType w:val="multilevel"/>
    <w:tmpl w:val="028889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813FE8"/>
    <w:multiLevelType w:val="multilevel"/>
    <w:tmpl w:val="CE1220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B533A79"/>
    <w:multiLevelType w:val="multilevel"/>
    <w:tmpl w:val="D7F21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B98310D"/>
    <w:multiLevelType w:val="multilevel"/>
    <w:tmpl w:val="EA2E8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F9D6675"/>
    <w:multiLevelType w:val="multilevel"/>
    <w:tmpl w:val="ACEA13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17463CB"/>
    <w:multiLevelType w:val="multilevel"/>
    <w:tmpl w:val="5F96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2977ADA"/>
    <w:multiLevelType w:val="multilevel"/>
    <w:tmpl w:val="8D1CF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C751C76"/>
    <w:multiLevelType w:val="multilevel"/>
    <w:tmpl w:val="35046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D192055"/>
    <w:multiLevelType w:val="multilevel"/>
    <w:tmpl w:val="2A4AB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E08709A"/>
    <w:multiLevelType w:val="multilevel"/>
    <w:tmpl w:val="2F843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45A64BB"/>
    <w:multiLevelType w:val="multilevel"/>
    <w:tmpl w:val="2E90D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65E4FE3"/>
    <w:multiLevelType w:val="multilevel"/>
    <w:tmpl w:val="16DC5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6B72D7E"/>
    <w:multiLevelType w:val="multilevel"/>
    <w:tmpl w:val="02B0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71C2EA4"/>
    <w:multiLevelType w:val="multilevel"/>
    <w:tmpl w:val="2AE63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9BD09D3"/>
    <w:multiLevelType w:val="multilevel"/>
    <w:tmpl w:val="1CB223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A3518DE"/>
    <w:multiLevelType w:val="multilevel"/>
    <w:tmpl w:val="89728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FCF0175"/>
    <w:multiLevelType w:val="multilevel"/>
    <w:tmpl w:val="32BCD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5"/>
  </w:num>
  <w:num w:numId="3">
    <w:abstractNumId w:val="30"/>
    <w:lvlOverride w:ilvl="0">
      <w:startOverride w:val="2"/>
    </w:lvlOverride>
  </w:num>
  <w:num w:numId="4">
    <w:abstractNumId w:val="6"/>
    <w:lvlOverride w:ilvl="0">
      <w:startOverride w:val="3"/>
    </w:lvlOverride>
  </w:num>
  <w:num w:numId="5">
    <w:abstractNumId w:val="39"/>
    <w:lvlOverride w:ilvl="0">
      <w:startOverride w:val="4"/>
    </w:lvlOverride>
  </w:num>
  <w:num w:numId="6">
    <w:abstractNumId w:val="40"/>
    <w:lvlOverride w:ilvl="0">
      <w:startOverride w:val="2"/>
    </w:lvlOverride>
  </w:num>
  <w:num w:numId="7">
    <w:abstractNumId w:val="14"/>
    <w:lvlOverride w:ilvl="0">
      <w:startOverride w:val="3"/>
    </w:lvlOverride>
  </w:num>
  <w:num w:numId="8">
    <w:abstractNumId w:val="34"/>
  </w:num>
  <w:num w:numId="9">
    <w:abstractNumId w:val="17"/>
  </w:num>
  <w:num w:numId="10">
    <w:abstractNumId w:val="32"/>
    <w:lvlOverride w:ilvl="0">
      <w:startOverride w:val="2"/>
    </w:lvlOverride>
  </w:num>
  <w:num w:numId="11">
    <w:abstractNumId w:val="42"/>
    <w:lvlOverride w:ilvl="0">
      <w:startOverride w:val="3"/>
    </w:lvlOverride>
  </w:num>
  <w:num w:numId="12">
    <w:abstractNumId w:val="19"/>
    <w:lvlOverride w:ilvl="0">
      <w:startOverride w:val="4"/>
    </w:lvlOverride>
  </w:num>
  <w:num w:numId="13">
    <w:abstractNumId w:val="10"/>
    <w:lvlOverride w:ilvl="0">
      <w:startOverride w:val="5"/>
    </w:lvlOverride>
  </w:num>
  <w:num w:numId="14">
    <w:abstractNumId w:val="27"/>
    <w:lvlOverride w:ilvl="0">
      <w:startOverride w:val="6"/>
    </w:lvlOverride>
  </w:num>
  <w:num w:numId="15">
    <w:abstractNumId w:val="11"/>
    <w:lvlOverride w:ilvl="0">
      <w:startOverride w:val="7"/>
    </w:lvlOverride>
  </w:num>
  <w:num w:numId="16">
    <w:abstractNumId w:val="9"/>
  </w:num>
  <w:num w:numId="17">
    <w:abstractNumId w:val="21"/>
  </w:num>
  <w:num w:numId="18">
    <w:abstractNumId w:val="13"/>
  </w:num>
  <w:num w:numId="19">
    <w:abstractNumId w:val="7"/>
  </w:num>
  <w:num w:numId="20">
    <w:abstractNumId w:val="7"/>
    <w:lvlOverride w:ilvl="0">
      <w:startOverride w:val="2"/>
    </w:lvlOverride>
  </w:num>
  <w:num w:numId="21">
    <w:abstractNumId w:val="7"/>
    <w:lvlOverride w:ilvl="0">
      <w:startOverride w:val="3"/>
    </w:lvlOverride>
  </w:num>
  <w:num w:numId="22">
    <w:abstractNumId w:val="1"/>
  </w:num>
  <w:num w:numId="23">
    <w:abstractNumId w:val="23"/>
    <w:lvlOverride w:ilvl="0">
      <w:startOverride w:val="2"/>
    </w:lvlOverride>
  </w:num>
  <w:num w:numId="24">
    <w:abstractNumId w:val="36"/>
    <w:lvlOverride w:ilvl="0">
      <w:startOverride w:val="3"/>
    </w:lvlOverride>
  </w:num>
  <w:num w:numId="25">
    <w:abstractNumId w:val="2"/>
    <w:lvlOverride w:ilvl="0">
      <w:startOverride w:val="4"/>
    </w:lvlOverride>
  </w:num>
  <w:num w:numId="26">
    <w:abstractNumId w:val="15"/>
    <w:lvlOverride w:ilvl="0">
      <w:startOverride w:val="5"/>
    </w:lvlOverride>
  </w:num>
  <w:num w:numId="27">
    <w:abstractNumId w:val="29"/>
    <w:lvlOverride w:ilvl="0">
      <w:startOverride w:val="6"/>
    </w:lvlOverride>
  </w:num>
  <w:num w:numId="28">
    <w:abstractNumId w:val="8"/>
    <w:lvlOverride w:ilvl="0">
      <w:startOverride w:val="7"/>
    </w:lvlOverride>
  </w:num>
  <w:num w:numId="29">
    <w:abstractNumId w:val="12"/>
    <w:lvlOverride w:ilvl="0">
      <w:startOverride w:val="8"/>
    </w:lvlOverride>
  </w:num>
  <w:num w:numId="30">
    <w:abstractNumId w:val="35"/>
    <w:lvlOverride w:ilvl="0">
      <w:startOverride w:val="9"/>
    </w:lvlOverride>
  </w:num>
  <w:num w:numId="31">
    <w:abstractNumId w:val="31"/>
    <w:lvlOverride w:ilvl="0">
      <w:startOverride w:val="10"/>
    </w:lvlOverride>
  </w:num>
  <w:num w:numId="32">
    <w:abstractNumId w:val="24"/>
    <w:lvlOverride w:ilvl="0">
      <w:startOverride w:val="11"/>
    </w:lvlOverride>
  </w:num>
  <w:num w:numId="33">
    <w:abstractNumId w:val="18"/>
    <w:lvlOverride w:ilvl="0">
      <w:startOverride w:val="12"/>
    </w:lvlOverride>
  </w:num>
  <w:num w:numId="34">
    <w:abstractNumId w:val="43"/>
    <w:lvlOverride w:ilvl="0">
      <w:startOverride w:val="13"/>
    </w:lvlOverride>
  </w:num>
  <w:num w:numId="35">
    <w:abstractNumId w:val="16"/>
    <w:lvlOverride w:ilvl="0">
      <w:startOverride w:val="14"/>
    </w:lvlOverride>
  </w:num>
  <w:num w:numId="36">
    <w:abstractNumId w:val="41"/>
    <w:lvlOverride w:ilvl="0">
      <w:startOverride w:val="15"/>
    </w:lvlOverride>
  </w:num>
  <w:num w:numId="37">
    <w:abstractNumId w:val="3"/>
    <w:lvlOverride w:ilvl="0">
      <w:startOverride w:val="16"/>
    </w:lvlOverride>
  </w:num>
  <w:num w:numId="38">
    <w:abstractNumId w:val="25"/>
    <w:lvlOverride w:ilvl="0">
      <w:startOverride w:val="17"/>
    </w:lvlOverride>
  </w:num>
  <w:num w:numId="39">
    <w:abstractNumId w:val="20"/>
    <w:lvlOverride w:ilvl="0">
      <w:startOverride w:val="18"/>
    </w:lvlOverride>
  </w:num>
  <w:num w:numId="40">
    <w:abstractNumId w:val="37"/>
    <w:lvlOverride w:ilvl="0">
      <w:startOverride w:val="19"/>
    </w:lvlOverride>
  </w:num>
  <w:num w:numId="41">
    <w:abstractNumId w:val="38"/>
    <w:lvlOverride w:ilvl="0">
      <w:startOverride w:val="20"/>
    </w:lvlOverride>
  </w:num>
  <w:num w:numId="42">
    <w:abstractNumId w:val="0"/>
    <w:lvlOverride w:ilvl="0">
      <w:startOverride w:val="21"/>
    </w:lvlOverride>
  </w:num>
  <w:num w:numId="43">
    <w:abstractNumId w:val="33"/>
    <w:lvlOverride w:ilvl="0">
      <w:startOverride w:val="22"/>
    </w:lvlOverride>
  </w:num>
  <w:num w:numId="44">
    <w:abstractNumId w:val="22"/>
    <w:lvlOverride w:ilvl="0">
      <w:startOverride w:val="23"/>
    </w:lvlOverride>
  </w:num>
  <w:num w:numId="45">
    <w:abstractNumId w:val="28"/>
    <w:lvlOverride w:ilvl="0">
      <w:startOverride w:val="24"/>
    </w:lvlOverride>
  </w:num>
  <w:num w:numId="46">
    <w:abstractNumId w:val="4"/>
    <w:lvlOverride w:ilvl="0">
      <w:startOverride w:val="2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7AF"/>
    <w:rsid w:val="002C71FD"/>
    <w:rsid w:val="00893CD1"/>
    <w:rsid w:val="00EE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131AEE-6C17-40DA-A772-58AC7F32F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pPrDefault>
      <w:pPr>
        <w:spacing w:after="160" w:line="259" w:lineRule="auto"/>
      </w:pPr>
    </w:pPrDefault>
    <w:rPrDefault>
      <w:rPr>
        <w:rFonts w:asciiTheme="minorHAnsi" w:hAnsiTheme="minorHAnsi" w:cstheme="minorBidi" w:eastAsiaTheme="minorHAnsi"/>
        <w:sz w:val="22"/>
      </w:rPr>
    </w:r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
    <w:name w:val="texto_centralizado_maiusculas"/>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textojustificado">
    <w:name w:val="texto_justificado"/>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itemnivel1">
    <w:name w:val="item_nivel1"/>
    <w:basedOn w:val="Normal"/>
    <w:rsid w:val="00EE27AF"/>
    <w:pPr>
      <w:spacing w:before="100" w:beforeAutospacing="1" w:after="100" w:afterAutospacing="1" w:line="240" w:lineRule="auto"/>
    </w:pPr>
    <w:rPr>
      <w:rFonts w:ascii="Times New Roman" w:hAnsi="Times New Roman" w:cs="Times New Roman" w:eastAsia="Times New Roman"/>
      <w:sz w:val="24"/>
    </w:rPr>
  </w:style>
  <w:style w:type="character" w:styleId="Forte">
    <w:name w:val="Strong"/>
    <w:basedOn w:val="Fontepargpadro"/>
    <w:uiPriority w:val="22"/>
    <w:qFormat/>
    <w:rsid w:val="00EE27AF"/>
    <w:rPr>
      <w:b/>
    </w:rPr>
  </w:style>
  <w:style w:type="paragraph" w:customStyle="1" w:styleId="itemnivel2">
    <w:name w:val="item_nivel2"/>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itemalinealetra">
    <w:name w:val="item_alinea_letra"/>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itemnivel4">
    <w:name w:val="item_nivel4"/>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itemnivel3">
    <w:name w:val="item_nivel3"/>
    <w:basedOn w:val="Normal"/>
    <w:rsid w:val="00EE27AF"/>
    <w:pPr>
      <w:spacing w:before="100" w:beforeAutospacing="1" w:after="100" w:afterAutospacing="1" w:line="240" w:lineRule="auto"/>
    </w:pPr>
    <w:rPr>
      <w:rFonts w:ascii="Times New Roman" w:hAnsi="Times New Roman" w:cs="Times New Roman" w:eastAsia="Times New Roman"/>
      <w:sz w:val="24"/>
    </w:rPr>
  </w:style>
  <w:style w:type="character" w:styleId="nfase">
    <w:name w:val="Emphasis"/>
    <w:basedOn w:val="Fontepargpadro"/>
    <w:uiPriority w:val="20"/>
    <w:qFormat/>
    <w:rsid w:val="00EE27AF"/>
    <w:rPr>
      <w:i/>
    </w:rPr>
  </w:style>
  <w:style w:type="paragraph" w:customStyle="1" w:styleId="citacao">
    <w:name w:val="citacao"/>
    <w:basedOn w:val="Normal"/>
    <w:rsid w:val="00EE27AF"/>
    <w:pPr>
      <w:spacing w:before="100" w:beforeAutospacing="1" w:after="100" w:afterAutospacing="1" w:line="240" w:lineRule="auto"/>
    </w:pPr>
    <w:rPr>
      <w:rFonts w:ascii="Times New Roman" w:hAnsi="Times New Roman" w:cs="Times New Roman" w:eastAsia="Times New Roman"/>
      <w:sz w:val="24"/>
    </w:rPr>
  </w:style>
  <w:style w:type="character" w:styleId="Hyperlink">
    <w:name w:val="Hyperlink"/>
    <w:basedOn w:val="Fontepargpadro"/>
    <w:uiPriority w:val="99"/>
    <w:semiHidden/>
    <w:unhideWhenUsed/>
    <w:rsid w:val="00EE27AF"/>
    <w:rPr>
      <w:color w:val="0000FF"/>
      <w:u w:val="single"/>
    </w:rPr>
  </w:style>
  <w:style w:type="character" w:styleId="HiperlinkVisitado">
    <w:name w:val="FollowedHyperlink"/>
    <w:basedOn w:val="Fontepargpadro"/>
    <w:uiPriority w:val="99"/>
    <w:semiHidden/>
    <w:unhideWhenUsed/>
    <w:rsid w:val="00EE27AF"/>
    <w:rPr>
      <w:color w:val="800080"/>
      <w:u w:val="single"/>
    </w:rPr>
  </w:style>
  <w:style w:type="paragraph" w:customStyle="1" w:styleId="textocentralizado">
    <w:name w:val="texto_centralizado"/>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textocentralizadomaiusculasnegrito">
    <w:name w:val="texto_centralizado_maiusculas_negrito"/>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textojustificadorecuoprimeiralinha">
    <w:name w:val="texto_justificado_recuo_primeira_linha"/>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customStyle="1" w:styleId="textoalinhadoesquerda">
    <w:name w:val="texto_alinhado_esquerda"/>
    <w:basedOn w:val="Normal"/>
    <w:rsid w:val="00EE27AF"/>
    <w:pPr>
      <w:spacing w:before="100" w:beforeAutospacing="1" w:after="100" w:afterAutospacing="1" w:line="240" w:lineRule="auto"/>
    </w:pPr>
    <w:rPr>
      <w:rFonts w:ascii="Times New Roman" w:hAnsi="Times New Roman" w:cs="Times New Roman" w:eastAsia="Times New Roman"/>
      <w:sz w:val="24"/>
    </w:rPr>
  </w:style>
  <w:style w:type="paragraph" w:styleId="P68B1DB1-Normal1">
    <w:name w:val="P68B1DB1-Normal1"/>
    <w:basedOn w:val="Normal"/>
    <w:rPr>
      <w:rFonts w:ascii="Calibri" w:hAnsi="Calibri" w:cs="Calibri" w:eastAsia="Times New Roman"/>
      <w:caps/>
      <w:color w:val="000000"/>
      <w:sz w:val="26"/>
    </w:rPr>
  </w:style>
  <w:style w:type="paragraph" w:styleId="P68B1DB1-Normal2">
    <w:name w:val="P68B1DB1-Normal2"/>
    <w:basedOn w:val="Normal"/>
    <w:rPr>
      <w:rFonts w:ascii="Calibri" w:hAnsi="Calibri" w:cs="Calibri" w:eastAsia="Times New Roman"/>
      <w:color w:val="000000"/>
      <w:sz w:val="27"/>
    </w:rPr>
  </w:style>
  <w:style w:type="paragraph" w:styleId="P68B1DB1-Normal3">
    <w:name w:val="P68B1DB1-Normal3"/>
    <w:basedOn w:val="Normal"/>
    <w:rPr>
      <w:rFonts w:ascii="Calibri" w:hAnsi="Calibri" w:cs="Calibri" w:eastAsia="Times New Roman"/>
      <w:b/>
      <w:caps/>
      <w:color w:val="000000"/>
      <w:sz w:val="27"/>
    </w:rPr>
  </w:style>
  <w:style w:type="paragraph" w:styleId="P68B1DB1-Normal4">
    <w:name w:val="P68B1DB1-Normal4"/>
    <w:basedOn w:val="Normal"/>
    <w:rPr>
      <w:rFonts w:ascii="Calibri" w:hAnsi="Calibri" w:cs="Calibri" w:eastAsia="Times New Roman"/>
      <w:color w:val="000000"/>
      <w:sz w:val="24"/>
    </w:rPr>
  </w:style>
  <w:style w:type="paragraph" w:styleId="P68B1DB1-Normal5">
    <w:name w:val="P68B1DB1-Normal5"/>
    <w:basedOn w:val="Normal"/>
    <w:rPr>
      <w:rFonts w:ascii="Calibri" w:hAnsi="Calibri" w:cs="Calibri" w:eastAsia="Times New Roman"/>
      <w:i/>
      <w:color w:val="000000"/>
      <w:sz w:val="20"/>
    </w:rPr>
  </w:style>
  <w:style w:type="paragraph" w:styleId="P68B1DB1-Normal6">
    <w:name w:val="P68B1DB1-Normal6"/>
    <w:basedOn w:val="Normal"/>
    <w:rPr>
      <w:rFonts w:ascii="Calibri" w:hAnsi="Calibri" w:cs="Calibri" w:eastAsia="Times New Roman"/>
      <w:sz w:val="27"/>
    </w:rPr>
  </w:style>
  <w:style w:type="paragraph" w:styleId="P68B1DB1-Normal7">
    <w:name w:val="P68B1DB1-Normal7"/>
    <w:basedOn w:val="Normal"/>
    <w:rPr>
      <w:rFonts w:ascii="Calibri" w:hAnsi="Calibri" w:cs="Calibri" w:eastAsia="Times New Roman"/>
      <w:b/>
      <w:color w:val="000000"/>
      <w:sz w:val="24"/>
    </w:rPr>
  </w:style>
  <w:style w:type="paragraph" w:styleId="P68B1DB1-Normal8">
    <w:name w:val="P68B1DB1-Normal8"/>
    <w:basedOn w:val="Normal"/>
    <w:rPr>
      <w:rFonts w:ascii="Calibri" w:hAnsi="Calibri" w:cs="Calibri" w:eastAsia="Times New Roman"/>
      <w:b/>
      <w:color w:val="000000"/>
      <w:sz w:val="27"/>
    </w:rPr>
  </w:style>
  <w:style w:type="paragraph" w:styleId="P68B1DB1-Normal9">
    <w:name w:val="P68B1DB1-Normal9"/>
    <w:basedOn w:val="Normal"/>
    <w:rPr>
      <w:rFonts w:ascii="Calibri" w:hAnsi="Calibri" w:cs="Calibri" w:eastAsia="Times New Roman"/>
      <w:b/>
      <w:color w:val="000000"/>
      <w:sz w:val="27"/>
      <w:u w:val="single"/>
    </w:rPr>
  </w:style>
  <w:style w:type="paragraph" w:styleId="P68B1DB1-Normal10">
    <w:name w:val="P68B1DB1-Normal10"/>
    <w:basedOn w:val="Normal"/>
    <w:rPr>
      <w:rFonts w:ascii="Calibri" w:hAnsi="Calibri" w:cs="Calibri" w:eastAsia="Times New Roman"/>
      <w:b/>
      <w:caps/>
      <w:color w:val="000000"/>
      <w:sz w:val="26"/>
    </w:rPr>
  </w:style>
  <w:style w:type="paragraph" w:styleId="P68B1DB1-Normal11">
    <w:name w:val="P68B1DB1-Normal11"/>
    <w:basedOn w:val="Normal"/>
    <w:rPr>
      <w:rFonts w:ascii="Calibri" w:hAnsi="Calibri" w:cs="Calibri" w:eastAsia="Times New Roman"/>
      <w:b/>
      <w:color w:val="000000"/>
    </w:rPr>
  </w:style>
  <w:style w:type="paragraph" w:styleId="P68B1DB1-Normal12">
    <w:name w:val="P68B1DB1-Normal12"/>
    <w:basedOn w:val="Normal"/>
    <w:rPr>
      <w:rFonts w:ascii="Calibri" w:hAnsi="Calibri" w:cs="Calibri" w:eastAsia="Times New Roman"/>
      <w:sz w:val="24"/>
    </w:rPr>
  </w:style>
  <w:style w:type="paragraph" w:styleId="P68B1DB1-Normal13">
    <w:name w:val="P68B1DB1-Normal13"/>
    <w:basedOn w:val="Normal"/>
    <w:rPr>
      <w:rFonts w:ascii="Calibri" w:hAnsi="Calibri" w:cs="Calibri" w:eastAsia="Times New Roman"/>
      <w:color w:val="000000"/>
    </w:rPr>
  </w:style>
  <w:style w:type="paragraph" w:styleId="P68B1DB1-Normal14">
    <w:name w:val="P68B1DB1-Normal14"/>
    <w:basedOn w:val="Normal"/>
    <w:rPr>
      <w:rFonts w:ascii="Calibri" w:hAnsi="Calibri" w:cs="Calibri" w:eastAsia="Times New Roman"/>
      <w:i/>
      <w:color w:val="000000"/>
      <w:sz w:val="24"/>
    </w:rPr>
  </w:style>
  <w:style w:type="paragraph" w:styleId="P68B1DB1-Normal15">
    <w:name w:val="P68B1DB1-Normal15"/>
    <w:basedOn w:val="Normal"/>
    <w:rPr>
      <w:rFonts w:ascii="Calibri" w:hAnsi="Calibri" w:cs="Calibri" w:eastAsia="Times New Roman"/>
      <w:b/>
      <w:color w:val="000000"/>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1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bcb.gov.br/conversao"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114</Pages>
  <Words>36077</Words>
  <Characters>162348</Characters>
  <Application>Microsoft Office Word</Application>
  <DocSecurity>0</DocSecurity>
  <Lines>32469</Lines>
  <Paragraphs>24803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Renan Artur Pretto</dc:creator>
  <cp:keywords/>
  <dc:description/>
  <cp:lastModifiedBy>Renan Artur Pretto</cp:lastModifiedBy>
  <cp:revision>1</cp:revision>
  <dcterms:created xsi:type="dcterms:W3CDTF">2022-09-14T21:58:00Z</dcterms:created>
  <dcterms:modified xsi:type="dcterms:W3CDTF">2022-09-14T22:09:00Z</dcterms:modified>
</cp:coreProperties>
</file>